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D00D2">
            <w:pPr>
              <w:pStyle w:val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6D00D2" w:rsidRPr="006D00D2">
              <w:rPr>
                <w:rFonts w:ascii="Times New Roman" w:hAnsi="Times New Roman"/>
                <w:sz w:val="26"/>
                <w:szCs w:val="26"/>
                <w:u w:val="single"/>
              </w:rPr>
              <w:t>26.05.2017</w:t>
            </w:r>
            <w:r w:rsidR="0040506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405067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40506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6D00D2">
            <w:pPr>
              <w:pStyle w:val="1"/>
              <w:jc w:val="center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6D00D2">
            <w:pPr>
              <w:pStyle w:val="1"/>
              <w:jc w:val="center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Pr="006D00D2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6D00D2" w:rsidRPr="006D00D2">
              <w:rPr>
                <w:rFonts w:ascii="Times New Roman" w:hAnsi="Times New Roman"/>
                <w:sz w:val="26"/>
                <w:szCs w:val="26"/>
                <w:u w:val="single"/>
              </w:rPr>
              <w:t>70/01-07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91DB5" w:rsidTr="001B2992">
        <w:trPr>
          <w:trHeight w:val="513"/>
        </w:trPr>
        <w:tc>
          <w:tcPr>
            <w:tcW w:w="10206" w:type="dxa"/>
            <w:gridSpan w:val="3"/>
          </w:tcPr>
          <w:p w:rsidR="00BD1D67" w:rsidRDefault="004F6045" w:rsidP="00BD1D67">
            <w:pPr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r w:rsidRPr="00C91DB5">
              <w:rPr>
                <w:sz w:val="26"/>
                <w:szCs w:val="26"/>
              </w:rPr>
              <w:t xml:space="preserve">Об утверждении </w:t>
            </w:r>
            <w:r w:rsidR="00D54969" w:rsidRPr="00C91DB5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</w:p>
          <w:p w:rsidR="00D54969" w:rsidRPr="00BD1D67" w:rsidRDefault="00BD1D67" w:rsidP="00BD1D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регионального </w:t>
            </w:r>
            <w:r w:rsidR="00D54969" w:rsidRPr="00C91DB5">
              <w:rPr>
                <w:sz w:val="26"/>
                <w:szCs w:val="26"/>
              </w:rPr>
              <w:t xml:space="preserve">значения </w:t>
            </w:r>
            <w:bookmarkStart w:id="2" w:name="OLE_LINK9"/>
            <w:bookmarkStart w:id="3" w:name="OLE_LINK13"/>
            <w:r w:rsidR="00B55575" w:rsidRPr="00C91DB5">
              <w:rPr>
                <w:sz w:val="26"/>
                <w:szCs w:val="26"/>
              </w:rPr>
              <w:t>«</w:t>
            </w:r>
            <w:r w:rsidRPr="00BD1D67">
              <w:rPr>
                <w:sz w:val="26"/>
                <w:szCs w:val="26"/>
              </w:rPr>
              <w:t>3-х этажное промышленное здание. Бывшая винная монополия</w:t>
            </w:r>
            <w:r>
              <w:rPr>
                <w:sz w:val="26"/>
                <w:szCs w:val="26"/>
              </w:rPr>
              <w:t>», к</w:t>
            </w:r>
            <w:r w:rsidRPr="00BD1D67">
              <w:rPr>
                <w:sz w:val="26"/>
                <w:szCs w:val="26"/>
              </w:rPr>
              <w:t xml:space="preserve">онец </w:t>
            </w:r>
            <w:r w:rsidRPr="00BD1D67">
              <w:rPr>
                <w:sz w:val="26"/>
                <w:szCs w:val="26"/>
                <w:lang w:val="en-US"/>
              </w:rPr>
              <w:t>XIX</w:t>
            </w:r>
            <w:r w:rsidRPr="00BD1D67">
              <w:rPr>
                <w:sz w:val="26"/>
                <w:szCs w:val="26"/>
              </w:rPr>
              <w:t xml:space="preserve"> в.</w:t>
            </w:r>
            <w:r w:rsidR="00B55575" w:rsidRPr="00C91DB5">
              <w:rPr>
                <w:sz w:val="26"/>
                <w:szCs w:val="26"/>
              </w:rPr>
              <w:t xml:space="preserve"> </w:t>
            </w:r>
            <w:bookmarkStart w:id="4" w:name="OLE_LINK64"/>
            <w:bookmarkStart w:id="5" w:name="OLE_LINK65"/>
            <w:r w:rsidR="00936C94" w:rsidRPr="00C91DB5">
              <w:rPr>
                <w:bCs/>
                <w:sz w:val="26"/>
                <w:szCs w:val="26"/>
              </w:rPr>
              <w:t>(</w:t>
            </w:r>
            <w:r w:rsidR="001B2992" w:rsidRPr="00C91DB5">
              <w:rPr>
                <w:bCs/>
                <w:sz w:val="26"/>
                <w:szCs w:val="26"/>
              </w:rPr>
              <w:t>Томская </w:t>
            </w:r>
            <w:r w:rsidR="00936C94" w:rsidRPr="00C91DB5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</w:tbl>
    <w:p w:rsidR="00116CE8" w:rsidRPr="00C91DB5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6" w:name="ТекстовоеПоле2"/>
      <w:r w:rsidRPr="00C91DB5">
        <w:rPr>
          <w:rFonts w:ascii="Times New Roman" w:hAnsi="Times New Roman"/>
          <w:sz w:val="26"/>
          <w:szCs w:val="26"/>
        </w:rPr>
        <w:tab/>
      </w:r>
    </w:p>
    <w:p w:rsidR="00243E72" w:rsidRPr="00C91DB5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C91DB5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91DB5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7" w:name="OLE_LINK1"/>
      <w:bookmarkStart w:id="8" w:name="OLE_LINK2"/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7"/>
      <w:bookmarkEnd w:id="8"/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9" w:name="OLE_LINK10"/>
      <w:bookmarkStart w:id="10" w:name="OLE_LINK11"/>
      <w:r w:rsidR="008078A9" w:rsidRPr="00C91DB5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9"/>
      <w:bookmarkEnd w:id="10"/>
      <w:r w:rsidR="008078A9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1" w:name="OLE_LINK5"/>
      <w:bookmarkStart w:id="12" w:name="OLE_LINK6"/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1"/>
      <w:bookmarkEnd w:id="12"/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91DB5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91DB5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91DB5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91DB5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91DB5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91DB5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91DB5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C91DB5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ПРИКАЗЫВАЮ:</w:t>
      </w:r>
    </w:p>
    <w:p w:rsidR="00443317" w:rsidRPr="00BD1D67" w:rsidRDefault="00FB3CE7" w:rsidP="00BD1D67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BD1D67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3" w:name="OLE_LINK12"/>
      <w:r w:rsidR="00973402" w:rsidRPr="00BD1D67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4" w:name="OLE_LINK14"/>
      <w:bookmarkStart w:id="15" w:name="OLE_LINK15"/>
      <w:bookmarkEnd w:id="13"/>
      <w:r w:rsidR="00F25918" w:rsidRPr="00BD1D67">
        <w:rPr>
          <w:rFonts w:ascii="Times New Roman" w:hAnsi="Times New Roman"/>
          <w:sz w:val="26"/>
          <w:szCs w:val="26"/>
        </w:rPr>
        <w:t>«</w:t>
      </w:r>
      <w:r w:rsidR="00BD1D67" w:rsidRPr="00BD1D67">
        <w:rPr>
          <w:rFonts w:ascii="Times New Roman" w:hAnsi="Times New Roman"/>
          <w:sz w:val="26"/>
          <w:szCs w:val="26"/>
        </w:rPr>
        <w:t xml:space="preserve">3-х этажное промышленное </w:t>
      </w:r>
      <w:r w:rsidR="00BD1D67">
        <w:rPr>
          <w:rFonts w:ascii="Times New Roman" w:hAnsi="Times New Roman"/>
          <w:sz w:val="26"/>
          <w:szCs w:val="26"/>
        </w:rPr>
        <w:t>здание. Бывшая винная монополия», к</w:t>
      </w:r>
      <w:r w:rsidR="00BD1D67" w:rsidRPr="00BD1D67">
        <w:rPr>
          <w:rFonts w:ascii="Times New Roman" w:hAnsi="Times New Roman"/>
          <w:sz w:val="26"/>
          <w:szCs w:val="26"/>
        </w:rPr>
        <w:t xml:space="preserve">онец </w:t>
      </w:r>
      <w:r w:rsidR="00BD1D67" w:rsidRPr="00BD1D67">
        <w:rPr>
          <w:rFonts w:ascii="Times New Roman" w:hAnsi="Times New Roman"/>
          <w:sz w:val="26"/>
          <w:szCs w:val="26"/>
          <w:lang w:val="en-US"/>
        </w:rPr>
        <w:t>XIX</w:t>
      </w:r>
      <w:r w:rsidR="00BD1D67" w:rsidRPr="00BD1D67">
        <w:rPr>
          <w:rFonts w:ascii="Times New Roman" w:hAnsi="Times New Roman"/>
          <w:sz w:val="26"/>
          <w:szCs w:val="26"/>
        </w:rPr>
        <w:t xml:space="preserve"> в.</w:t>
      </w:r>
      <w:r w:rsidR="00F240E2" w:rsidRPr="00BD1D67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="000031B1" w:rsidRPr="00BD1D67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BD1D67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14"/>
      <w:bookmarkEnd w:id="15"/>
      <w:r w:rsidR="00243E72" w:rsidRPr="00BD1D67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243E72" w:rsidRPr="00BD1D67">
        <w:rPr>
          <w:rFonts w:ascii="Times New Roman" w:hAnsi="Times New Roman"/>
          <w:sz w:val="26"/>
          <w:szCs w:val="26"/>
        </w:rPr>
        <w:t>г</w:t>
      </w:r>
      <w:proofErr w:type="gramEnd"/>
      <w:r w:rsidR="00243E72" w:rsidRPr="00BD1D67">
        <w:rPr>
          <w:rFonts w:ascii="Times New Roman" w:hAnsi="Times New Roman"/>
          <w:sz w:val="26"/>
          <w:szCs w:val="26"/>
        </w:rPr>
        <w:t xml:space="preserve">. Томск, </w:t>
      </w:r>
      <w:r w:rsidR="00BD1D67">
        <w:rPr>
          <w:rFonts w:ascii="Times New Roman" w:hAnsi="Times New Roman"/>
          <w:sz w:val="26"/>
          <w:szCs w:val="26"/>
        </w:rPr>
        <w:t>пр. Ленина, </w:t>
      </w:r>
      <w:r w:rsidR="00BD1D67" w:rsidRPr="00BD1D67">
        <w:rPr>
          <w:rFonts w:ascii="Times New Roman" w:hAnsi="Times New Roman"/>
          <w:sz w:val="26"/>
          <w:szCs w:val="26"/>
        </w:rPr>
        <w:t>1</w:t>
      </w:r>
      <w:r w:rsidR="00C91DB5" w:rsidRPr="00BD1D67">
        <w:rPr>
          <w:rFonts w:ascii="Times New Roman" w:hAnsi="Times New Roman"/>
          <w:sz w:val="26"/>
          <w:szCs w:val="26"/>
        </w:rPr>
        <w:t>,</w:t>
      </w:r>
      <w:r w:rsidR="009375B9" w:rsidRPr="00BD1D67">
        <w:rPr>
          <w:rFonts w:ascii="TimesNewRomanPSMT" w:hAnsi="TimesNewRomanPSMT" w:cs="TimesNewRomanPSMT"/>
          <w:sz w:val="26"/>
          <w:szCs w:val="26"/>
        </w:rPr>
        <w:t xml:space="preserve"> </w:t>
      </w:r>
      <w:r w:rsidRPr="00BD1D67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BD1D67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BD1D6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BD1D67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BD1D67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BD1D67" w:rsidRDefault="001B2992" w:rsidP="00B55575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D1D6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BD1D67">
        <w:rPr>
          <w:rFonts w:ascii="Times New Roman" w:hAnsi="Times New Roman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FB3CE7" w:rsidRPr="00BD1D6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992" w:rsidRPr="00C91DB5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73" w:type="dxa"/>
        <w:tblLayout w:type="fixed"/>
        <w:tblLook w:val="04A0"/>
      </w:tblPr>
      <w:tblGrid>
        <w:gridCol w:w="3831"/>
        <w:gridCol w:w="3507"/>
        <w:gridCol w:w="2835"/>
      </w:tblGrid>
      <w:tr w:rsidR="001B2992" w:rsidRPr="00C91DB5" w:rsidTr="001B2992">
        <w:tc>
          <w:tcPr>
            <w:tcW w:w="3831" w:type="dxa"/>
            <w:shd w:val="clear" w:color="auto" w:fill="auto"/>
            <w:vAlign w:val="center"/>
          </w:tcPr>
          <w:bookmarkEnd w:id="6"/>
          <w:p w:rsidR="001B2992" w:rsidRPr="00C91DB5" w:rsidRDefault="001B2992" w:rsidP="00C43F0C">
            <w:pPr>
              <w:rPr>
                <w:sz w:val="26"/>
                <w:szCs w:val="26"/>
              </w:rPr>
            </w:pPr>
            <w:r w:rsidRPr="00C91DB5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C91DB5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2992" w:rsidRPr="00C91DB5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C91DB5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04"/>
        <w:gridCol w:w="4110"/>
      </w:tblGrid>
      <w:tr w:rsidR="000031B1" w:rsidRPr="00F64729" w:rsidTr="001B2992">
        <w:trPr>
          <w:trHeight w:val="426"/>
        </w:trPr>
        <w:tc>
          <w:tcPr>
            <w:tcW w:w="6204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110" w:type="dxa"/>
          </w:tcPr>
          <w:p w:rsidR="000031B1" w:rsidRPr="005A62EF" w:rsidRDefault="000031B1" w:rsidP="000031B1">
            <w:pPr>
              <w:jc w:val="both"/>
            </w:pPr>
            <w:r w:rsidRPr="005A62EF">
              <w:t xml:space="preserve">Приложение к приказу </w:t>
            </w:r>
          </w:p>
          <w:p w:rsidR="000031B1" w:rsidRPr="005A62EF" w:rsidRDefault="000031B1" w:rsidP="000031B1">
            <w:pPr>
              <w:jc w:val="both"/>
            </w:pPr>
            <w:r w:rsidRPr="005A62EF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1B2992">
        <w:trPr>
          <w:trHeight w:val="270"/>
        </w:trPr>
        <w:tc>
          <w:tcPr>
            <w:tcW w:w="6204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0031B1" w:rsidRPr="005A62EF" w:rsidRDefault="000031B1" w:rsidP="006D00D2">
            <w:pPr>
              <w:jc w:val="both"/>
            </w:pPr>
            <w:r w:rsidRPr="005A62EF">
              <w:t xml:space="preserve">от  </w:t>
            </w:r>
            <w:r w:rsidR="006D00D2">
              <w:t>26.05.2017</w:t>
            </w:r>
            <w:r w:rsidRPr="005A62EF">
              <w:t xml:space="preserve">  № </w:t>
            </w:r>
            <w:r w:rsidR="006D00D2">
              <w:t>70/01-07</w:t>
            </w: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p w:rsidR="00C91DB5" w:rsidRPr="00BD1D67" w:rsidRDefault="00AD7D8B" w:rsidP="00B55575">
      <w:pPr>
        <w:jc w:val="center"/>
        <w:rPr>
          <w:b/>
          <w:sz w:val="26"/>
          <w:szCs w:val="26"/>
        </w:rPr>
      </w:pPr>
      <w:r w:rsidRPr="00BD1D67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  <w:bookmarkStart w:id="16" w:name="OLE_LINK62"/>
      <w:bookmarkStart w:id="17" w:name="OLE_LINK63"/>
    </w:p>
    <w:p w:rsidR="00B55575" w:rsidRPr="00BD1D67" w:rsidRDefault="00BD1D67" w:rsidP="00296C28">
      <w:pPr>
        <w:jc w:val="center"/>
        <w:rPr>
          <w:sz w:val="26"/>
          <w:szCs w:val="26"/>
        </w:rPr>
      </w:pPr>
      <w:r w:rsidRPr="00296C28">
        <w:rPr>
          <w:sz w:val="26"/>
          <w:szCs w:val="26"/>
        </w:rPr>
        <w:t xml:space="preserve">«3-х этажное промышленное </w:t>
      </w:r>
      <w:r w:rsidR="00296C28">
        <w:rPr>
          <w:sz w:val="26"/>
          <w:szCs w:val="26"/>
        </w:rPr>
        <w:t>здание. Бывшая винная монополия», к</w:t>
      </w:r>
      <w:r w:rsidRPr="00296C28">
        <w:rPr>
          <w:sz w:val="26"/>
          <w:szCs w:val="26"/>
        </w:rPr>
        <w:t xml:space="preserve">онец </w:t>
      </w:r>
      <w:r w:rsidRPr="00296C28">
        <w:rPr>
          <w:sz w:val="26"/>
          <w:szCs w:val="26"/>
          <w:lang w:val="en-US"/>
        </w:rPr>
        <w:t>XIX</w:t>
      </w:r>
      <w:r w:rsidRPr="00296C28">
        <w:rPr>
          <w:sz w:val="26"/>
          <w:szCs w:val="26"/>
        </w:rPr>
        <w:t xml:space="preserve"> в.</w:t>
      </w:r>
      <w:r w:rsidR="00296C28">
        <w:rPr>
          <w:sz w:val="26"/>
          <w:szCs w:val="26"/>
        </w:rPr>
        <w:t xml:space="preserve"> </w:t>
      </w:r>
      <w:r w:rsidR="005D264A" w:rsidRPr="00BD1D67">
        <w:rPr>
          <w:bCs/>
          <w:sz w:val="26"/>
          <w:szCs w:val="26"/>
        </w:rPr>
        <w:t>(Томская область)</w:t>
      </w:r>
    </w:p>
    <w:p w:rsidR="00C91DB5" w:rsidRPr="00BD1D67" w:rsidRDefault="00C91DB5" w:rsidP="00B55575">
      <w:pPr>
        <w:jc w:val="both"/>
        <w:rPr>
          <w:color w:val="0000FF"/>
          <w:sz w:val="26"/>
          <w:szCs w:val="26"/>
        </w:rPr>
      </w:pP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Градостроительные характеристики здания</w:t>
      </w:r>
      <w:r w:rsidRPr="00296C28">
        <w:rPr>
          <w:rFonts w:ascii="Times New Roman" w:hAnsi="Times New Roman"/>
          <w:sz w:val="26"/>
          <w:szCs w:val="26"/>
        </w:rPr>
        <w:t xml:space="preserve">: </w:t>
      </w:r>
    </w:p>
    <w:p w:rsidR="00BD1D67" w:rsidRPr="00296C28" w:rsidRDefault="00BD1D67" w:rsidP="00296C28">
      <w:pPr>
        <w:pStyle w:val="af0"/>
        <w:numPr>
          <w:ilvl w:val="0"/>
          <w:numId w:val="31"/>
        </w:numPr>
        <w:tabs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sz w:val="26"/>
          <w:szCs w:val="26"/>
        </w:rPr>
        <w:t xml:space="preserve">Местоположение здания в строчке </w:t>
      </w:r>
      <w:proofErr w:type="spellStart"/>
      <w:r w:rsidRPr="00296C28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296C28">
        <w:rPr>
          <w:rFonts w:ascii="Times New Roman" w:hAnsi="Times New Roman"/>
          <w:sz w:val="26"/>
          <w:szCs w:val="26"/>
        </w:rPr>
        <w:t xml:space="preserve"> застройки квартала, главным западн</w:t>
      </w:r>
      <w:r w:rsidR="00296C28">
        <w:rPr>
          <w:rFonts w:ascii="Times New Roman" w:hAnsi="Times New Roman"/>
          <w:sz w:val="26"/>
          <w:szCs w:val="26"/>
        </w:rPr>
        <w:t>ым фасадом по красной линии пр.</w:t>
      </w:r>
      <w:r w:rsidR="00296C28" w:rsidRPr="00296C28">
        <w:rPr>
          <w:rFonts w:ascii="Times New Roman" w:hAnsi="Times New Roman"/>
          <w:sz w:val="26"/>
          <w:szCs w:val="26"/>
        </w:rPr>
        <w:t> </w:t>
      </w:r>
      <w:r w:rsidRPr="00296C28">
        <w:rPr>
          <w:rFonts w:ascii="Times New Roman" w:hAnsi="Times New Roman"/>
          <w:sz w:val="26"/>
          <w:szCs w:val="26"/>
        </w:rPr>
        <w:t>Ленина. Здание форми</w:t>
      </w:r>
      <w:r w:rsidR="00296C28" w:rsidRPr="00296C28">
        <w:rPr>
          <w:rFonts w:ascii="Times New Roman" w:hAnsi="Times New Roman"/>
          <w:sz w:val="26"/>
          <w:szCs w:val="26"/>
        </w:rPr>
        <w:t>рует историческую застройку пр. </w:t>
      </w:r>
      <w:r w:rsidRPr="00296C28">
        <w:rPr>
          <w:rFonts w:ascii="Times New Roman" w:hAnsi="Times New Roman"/>
          <w:sz w:val="26"/>
          <w:szCs w:val="26"/>
        </w:rPr>
        <w:t>Ленина</w:t>
      </w:r>
      <w:r w:rsidRPr="00296C28">
        <w:rPr>
          <w:rFonts w:ascii="Times New Roman" w:hAnsi="Times New Roman"/>
          <w:b/>
          <w:sz w:val="26"/>
          <w:szCs w:val="26"/>
        </w:rPr>
        <w:t xml:space="preserve"> </w:t>
      </w:r>
      <w:r w:rsidR="00296C28" w:rsidRPr="00296C28">
        <w:rPr>
          <w:rFonts w:ascii="Times New Roman" w:hAnsi="Times New Roman"/>
          <w:sz w:val="26"/>
          <w:szCs w:val="26"/>
        </w:rPr>
        <w:t>кон. 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296C28" w:rsidRPr="00296C28">
        <w:rPr>
          <w:rFonts w:ascii="Times New Roman" w:hAnsi="Times New Roman"/>
          <w:sz w:val="26"/>
          <w:szCs w:val="26"/>
        </w:rPr>
        <w:t>нач</w:t>
      </w:r>
      <w:proofErr w:type="spellEnd"/>
      <w:r w:rsidR="00296C28" w:rsidRPr="00296C28">
        <w:rPr>
          <w:rFonts w:ascii="Times New Roman" w:hAnsi="Times New Roman"/>
          <w:sz w:val="26"/>
          <w:szCs w:val="26"/>
        </w:rPr>
        <w:t>. </w:t>
      </w:r>
      <w:r w:rsidRPr="00296C28">
        <w:rPr>
          <w:rFonts w:ascii="Times New Roman" w:hAnsi="Times New Roman"/>
          <w:sz w:val="26"/>
          <w:szCs w:val="26"/>
        </w:rPr>
        <w:t>ХХ вв.</w:t>
      </w:r>
    </w:p>
    <w:p w:rsidR="00BD1D67" w:rsidRPr="00296C28" w:rsidRDefault="00BD1D67" w:rsidP="00296C28">
      <w:pPr>
        <w:pStyle w:val="af0"/>
        <w:numPr>
          <w:ilvl w:val="0"/>
          <w:numId w:val="31"/>
        </w:numPr>
        <w:tabs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sz w:val="26"/>
          <w:szCs w:val="26"/>
        </w:rPr>
        <w:t>Здание является частью ансамбля бывшего К</w:t>
      </w:r>
      <w:r w:rsidR="00296C28">
        <w:rPr>
          <w:rFonts w:ascii="Times New Roman" w:hAnsi="Times New Roman"/>
          <w:sz w:val="26"/>
          <w:szCs w:val="26"/>
        </w:rPr>
        <w:t>азенного винного склада (Винной </w:t>
      </w:r>
      <w:r w:rsidRPr="00296C28">
        <w:rPr>
          <w:rFonts w:ascii="Times New Roman" w:hAnsi="Times New Roman"/>
          <w:sz w:val="26"/>
          <w:szCs w:val="26"/>
        </w:rPr>
        <w:t>монополии) – крупного промышленного ко</w:t>
      </w:r>
      <w:r w:rsidR="00296C28">
        <w:rPr>
          <w:rFonts w:ascii="Times New Roman" w:hAnsi="Times New Roman"/>
          <w:sz w:val="26"/>
          <w:szCs w:val="26"/>
        </w:rPr>
        <w:t>мплекса кон. 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sz w:val="26"/>
          <w:szCs w:val="26"/>
        </w:rPr>
        <w:t xml:space="preserve">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="00296C28">
        <w:rPr>
          <w:rFonts w:ascii="Times New Roman" w:hAnsi="Times New Roman"/>
          <w:sz w:val="26"/>
          <w:szCs w:val="26"/>
        </w:rPr>
        <w:t>нач</w:t>
      </w:r>
      <w:proofErr w:type="spellEnd"/>
      <w:r w:rsidR="00296C28">
        <w:rPr>
          <w:rFonts w:ascii="Times New Roman" w:hAnsi="Times New Roman"/>
          <w:sz w:val="26"/>
          <w:szCs w:val="26"/>
        </w:rPr>
        <w:t>. ХХ </w:t>
      </w:r>
      <w:r w:rsidRPr="00296C28">
        <w:rPr>
          <w:rFonts w:ascii="Times New Roman" w:hAnsi="Times New Roman"/>
          <w:sz w:val="26"/>
          <w:szCs w:val="26"/>
        </w:rPr>
        <w:t xml:space="preserve">вв. Главное здание в структуре ансамбля. </w:t>
      </w:r>
    </w:p>
    <w:p w:rsidR="00BD1D67" w:rsidRPr="00296C28" w:rsidRDefault="00BD1D67" w:rsidP="00296C28">
      <w:pPr>
        <w:pStyle w:val="af0"/>
        <w:numPr>
          <w:ilvl w:val="0"/>
          <w:numId w:val="31"/>
        </w:numPr>
        <w:tabs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sz w:val="26"/>
          <w:szCs w:val="26"/>
        </w:rPr>
        <w:t>Первоначальные габариты и силуэт объек</w:t>
      </w:r>
      <w:r w:rsidR="00296C28">
        <w:rPr>
          <w:rFonts w:ascii="Times New Roman" w:hAnsi="Times New Roman"/>
          <w:sz w:val="26"/>
          <w:szCs w:val="26"/>
        </w:rPr>
        <w:t>та, сформированный из разных по </w:t>
      </w:r>
      <w:r w:rsidRPr="00296C28">
        <w:rPr>
          <w:rFonts w:ascii="Times New Roman" w:hAnsi="Times New Roman"/>
          <w:sz w:val="26"/>
          <w:szCs w:val="26"/>
        </w:rPr>
        <w:t>этажности частей здания: 2-х этажной центральной, 3-</w:t>
      </w:r>
      <w:r w:rsidR="00296C28">
        <w:rPr>
          <w:rFonts w:ascii="Times New Roman" w:hAnsi="Times New Roman"/>
          <w:sz w:val="26"/>
          <w:szCs w:val="26"/>
        </w:rPr>
        <w:t>х этажных боковых с акцентами в </w:t>
      </w:r>
      <w:r w:rsidRPr="00296C28">
        <w:rPr>
          <w:rFonts w:ascii="Times New Roman" w:hAnsi="Times New Roman"/>
          <w:sz w:val="26"/>
          <w:szCs w:val="26"/>
        </w:rPr>
        <w:t xml:space="preserve">виде аттиков и одноэтажных дворовых. </w:t>
      </w:r>
    </w:p>
    <w:p w:rsidR="00296C28" w:rsidRDefault="00BD1D67" w:rsidP="00296C28">
      <w:pPr>
        <w:pStyle w:val="af0"/>
        <w:numPr>
          <w:ilvl w:val="0"/>
          <w:numId w:val="31"/>
        </w:numPr>
        <w:tabs>
          <w:tab w:val="left" w:pos="0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sz w:val="26"/>
          <w:szCs w:val="26"/>
        </w:rPr>
        <w:t>Секторы и направления видовых раскры</w:t>
      </w:r>
      <w:r w:rsidR="00296C28">
        <w:rPr>
          <w:rFonts w:ascii="Times New Roman" w:hAnsi="Times New Roman"/>
          <w:sz w:val="26"/>
          <w:szCs w:val="26"/>
        </w:rPr>
        <w:t>тий здания при его восприятии в структуре ансамбля: по пр. Ленина, с пересечения пр. Ленина и ул. Нахимова и с </w:t>
      </w:r>
      <w:r w:rsidRPr="00296C28">
        <w:rPr>
          <w:rFonts w:ascii="Times New Roman" w:hAnsi="Times New Roman"/>
          <w:sz w:val="26"/>
          <w:szCs w:val="26"/>
        </w:rPr>
        <w:t>дворовой территории ансамбля.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0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296C28">
        <w:rPr>
          <w:rFonts w:ascii="Times New Roman" w:hAnsi="Times New Roman"/>
          <w:sz w:val="26"/>
          <w:szCs w:val="26"/>
        </w:rPr>
        <w:t xml:space="preserve"> на дату строительств</w:t>
      </w:r>
      <w:r w:rsidR="00296C28">
        <w:rPr>
          <w:rFonts w:ascii="Times New Roman" w:hAnsi="Times New Roman"/>
          <w:sz w:val="26"/>
          <w:szCs w:val="26"/>
        </w:rPr>
        <w:t>а кон. 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296C28">
        <w:rPr>
          <w:rFonts w:ascii="Times New Roman" w:hAnsi="Times New Roman"/>
          <w:sz w:val="26"/>
          <w:szCs w:val="26"/>
        </w:rPr>
        <w:t>нач</w:t>
      </w:r>
      <w:proofErr w:type="spellEnd"/>
      <w:r w:rsidR="00296C28">
        <w:rPr>
          <w:rFonts w:ascii="Times New Roman" w:hAnsi="Times New Roman"/>
          <w:sz w:val="26"/>
          <w:szCs w:val="26"/>
        </w:rPr>
        <w:t>. ХХ </w:t>
      </w:r>
      <w:r w:rsidRPr="00296C28">
        <w:rPr>
          <w:rFonts w:ascii="Times New Roman" w:hAnsi="Times New Roman"/>
          <w:sz w:val="26"/>
          <w:szCs w:val="26"/>
        </w:rPr>
        <w:t>вв. Первоначальный круп</w:t>
      </w:r>
      <w:r w:rsidR="00296C28">
        <w:rPr>
          <w:rFonts w:ascii="Times New Roman" w:hAnsi="Times New Roman"/>
          <w:sz w:val="26"/>
          <w:szCs w:val="26"/>
        </w:rPr>
        <w:t>ный каменный объем с подвалом и </w:t>
      </w:r>
      <w:r w:rsidRPr="00296C28">
        <w:rPr>
          <w:rFonts w:ascii="Times New Roman" w:hAnsi="Times New Roman"/>
          <w:sz w:val="26"/>
          <w:szCs w:val="26"/>
        </w:rPr>
        <w:t>мансардным этажом (над центральной частью). Форма плана «П» – образная, усложненная по главному фасаду</w:t>
      </w:r>
      <w:r w:rsidRPr="00296C28">
        <w:rPr>
          <w:rFonts w:ascii="Times New Roman" w:hAnsi="Times New Roman"/>
          <w:b/>
          <w:sz w:val="26"/>
          <w:szCs w:val="26"/>
        </w:rPr>
        <w:t xml:space="preserve"> –</w:t>
      </w:r>
      <w:r w:rsidRPr="00296C28">
        <w:rPr>
          <w:rFonts w:ascii="Times New Roman" w:hAnsi="Times New Roman"/>
          <w:sz w:val="26"/>
          <w:szCs w:val="26"/>
        </w:rPr>
        <w:t xml:space="preserve"> двумя боковыми ризалитами, со стороны двора </w:t>
      </w:r>
      <w:r w:rsidRPr="00296C28">
        <w:rPr>
          <w:rFonts w:ascii="Times New Roman" w:hAnsi="Times New Roman"/>
          <w:b/>
          <w:sz w:val="26"/>
          <w:szCs w:val="26"/>
        </w:rPr>
        <w:t>–</w:t>
      </w:r>
      <w:r w:rsidRPr="00296C28">
        <w:rPr>
          <w:rFonts w:ascii="Times New Roman" w:hAnsi="Times New Roman"/>
          <w:sz w:val="26"/>
          <w:szCs w:val="26"/>
        </w:rPr>
        <w:t xml:space="preserve"> одноэтажными объемами, вытянутыми в глубин</w:t>
      </w:r>
      <w:r w:rsidR="00296C28">
        <w:rPr>
          <w:rFonts w:ascii="Times New Roman" w:hAnsi="Times New Roman"/>
          <w:sz w:val="26"/>
          <w:szCs w:val="26"/>
        </w:rPr>
        <w:t>у квартала. Высотные отметки по </w:t>
      </w:r>
      <w:r w:rsidRPr="00296C28">
        <w:rPr>
          <w:rFonts w:ascii="Times New Roman" w:hAnsi="Times New Roman"/>
          <w:sz w:val="26"/>
          <w:szCs w:val="26"/>
        </w:rPr>
        <w:t xml:space="preserve">первоначальным карнизам всех объемов здания и аттику северного фасада. </w:t>
      </w:r>
    </w:p>
    <w:p w:rsidR="00BD1D67" w:rsidRPr="00BD1D67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b/>
          <w:sz w:val="26"/>
          <w:szCs w:val="26"/>
        </w:rPr>
        <w:t>Первоначальная форма крыши,</w:t>
      </w:r>
      <w:r w:rsidRPr="00BD1D67">
        <w:rPr>
          <w:rFonts w:ascii="Times New Roman" w:hAnsi="Times New Roman"/>
          <w:sz w:val="26"/>
          <w:szCs w:val="26"/>
        </w:rPr>
        <w:t xml:space="preserve"> </w:t>
      </w:r>
      <w:r w:rsidR="00296C28">
        <w:rPr>
          <w:rFonts w:ascii="Times New Roman" w:hAnsi="Times New Roman"/>
          <w:sz w:val="26"/>
          <w:szCs w:val="26"/>
        </w:rPr>
        <w:t>местоположение сохранившегося и </w:t>
      </w:r>
      <w:r w:rsidRPr="00BD1D67">
        <w:rPr>
          <w:rFonts w:ascii="Times New Roman" w:hAnsi="Times New Roman"/>
          <w:sz w:val="26"/>
          <w:szCs w:val="26"/>
        </w:rPr>
        <w:t xml:space="preserve">утраченных аттиков и слуховых окон, характер и материал первоначального покрытия – листовой металл с окраской. </w:t>
      </w:r>
    </w:p>
    <w:p w:rsidR="00BD1D67" w:rsidRPr="00BD1D67" w:rsidRDefault="00BD1D67" w:rsidP="00296C28">
      <w:pPr>
        <w:pStyle w:val="Style19"/>
        <w:widowControl/>
        <w:numPr>
          <w:ilvl w:val="0"/>
          <w:numId w:val="3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b/>
          <w:sz w:val="26"/>
          <w:szCs w:val="26"/>
        </w:rPr>
        <w:t xml:space="preserve">Первоначальный вид фасадов здания их композиция и архитектурно-художественное оформление </w:t>
      </w:r>
      <w:r w:rsidRPr="00BD1D67">
        <w:rPr>
          <w:rFonts w:ascii="Times New Roman" w:hAnsi="Times New Roman"/>
          <w:sz w:val="26"/>
          <w:szCs w:val="26"/>
        </w:rPr>
        <w:t xml:space="preserve">на дату строительства кон. </w:t>
      </w:r>
      <w:r w:rsidRPr="00BD1D67">
        <w:rPr>
          <w:rFonts w:ascii="Times New Roman" w:hAnsi="Times New Roman"/>
          <w:sz w:val="26"/>
          <w:szCs w:val="26"/>
          <w:lang w:val="en-US"/>
        </w:rPr>
        <w:t>XIX</w:t>
      </w:r>
      <w:r w:rsidRPr="00BD1D67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BD1D67">
        <w:rPr>
          <w:rFonts w:ascii="Times New Roman" w:hAnsi="Times New Roman"/>
          <w:sz w:val="26"/>
          <w:szCs w:val="26"/>
        </w:rPr>
        <w:t>нач</w:t>
      </w:r>
      <w:proofErr w:type="spellEnd"/>
      <w:r w:rsidRPr="00BD1D67">
        <w:rPr>
          <w:rFonts w:ascii="Times New Roman" w:hAnsi="Times New Roman"/>
          <w:sz w:val="26"/>
          <w:szCs w:val="26"/>
        </w:rPr>
        <w:t xml:space="preserve">. ХХ вв., выполненных в стиле эклектика («кирпичный» стиль): </w:t>
      </w:r>
    </w:p>
    <w:p w:rsidR="00BD1D67" w:rsidRPr="00BD1D67" w:rsidRDefault="00BD1D67" w:rsidP="00296C28">
      <w:pPr>
        <w:pStyle w:val="af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sz w:val="26"/>
          <w:szCs w:val="26"/>
        </w:rPr>
        <w:t xml:space="preserve">Симметричная композиция главного западного фасада с двумя боковыми ризалитами, решенного в 21 ось оконных проемов (в т.ч. ризалиты </w:t>
      </w:r>
      <w:r w:rsidRPr="00BD1D67">
        <w:rPr>
          <w:rFonts w:ascii="Times New Roman" w:hAnsi="Times New Roman"/>
          <w:b/>
          <w:sz w:val="26"/>
          <w:szCs w:val="26"/>
        </w:rPr>
        <w:t>–</w:t>
      </w:r>
      <w:r w:rsidRPr="00BD1D67">
        <w:rPr>
          <w:rFonts w:ascii="Times New Roman" w:hAnsi="Times New Roman"/>
          <w:sz w:val="26"/>
          <w:szCs w:val="26"/>
        </w:rPr>
        <w:t xml:space="preserve"> по 5 осей окон). Торцевые фасады, решенные: северный </w:t>
      </w:r>
      <w:r w:rsidRPr="00BD1D67">
        <w:rPr>
          <w:rFonts w:ascii="Times New Roman" w:hAnsi="Times New Roman"/>
          <w:b/>
          <w:sz w:val="26"/>
          <w:szCs w:val="26"/>
        </w:rPr>
        <w:t>–</w:t>
      </w:r>
      <w:r w:rsidRPr="00BD1D67">
        <w:rPr>
          <w:rFonts w:ascii="Times New Roman" w:hAnsi="Times New Roman"/>
          <w:sz w:val="26"/>
          <w:szCs w:val="26"/>
        </w:rPr>
        <w:t xml:space="preserve"> в 8 осей окон (в</w:t>
      </w:r>
      <w:r w:rsidR="00296C28">
        <w:rPr>
          <w:rFonts w:ascii="Times New Roman" w:hAnsi="Times New Roman"/>
          <w:sz w:val="26"/>
          <w:szCs w:val="26"/>
        </w:rPr>
        <w:t xml:space="preserve"> уровне 3-го этажа – 4 окна и 4 </w:t>
      </w:r>
      <w:r w:rsidRPr="00BD1D67">
        <w:rPr>
          <w:rFonts w:ascii="Times New Roman" w:hAnsi="Times New Roman"/>
          <w:sz w:val="26"/>
          <w:szCs w:val="26"/>
        </w:rPr>
        <w:t xml:space="preserve">ниши), южный </w:t>
      </w:r>
      <w:r w:rsidRPr="00BD1D67">
        <w:rPr>
          <w:rFonts w:ascii="Times New Roman" w:hAnsi="Times New Roman"/>
          <w:b/>
          <w:sz w:val="26"/>
          <w:szCs w:val="26"/>
        </w:rPr>
        <w:t xml:space="preserve">– </w:t>
      </w:r>
      <w:r w:rsidRPr="00BD1D67">
        <w:rPr>
          <w:rFonts w:ascii="Times New Roman" w:hAnsi="Times New Roman"/>
          <w:sz w:val="26"/>
          <w:szCs w:val="26"/>
        </w:rPr>
        <w:t xml:space="preserve">в 5 осей окон (в уровне 4-го яруса – узкие парные). Фасады левого крыла (дворовые): северный – в 5 осей проемов, южный </w:t>
      </w:r>
      <w:r w:rsidRPr="00BD1D67">
        <w:rPr>
          <w:rFonts w:ascii="Times New Roman" w:hAnsi="Times New Roman"/>
          <w:b/>
          <w:sz w:val="26"/>
          <w:szCs w:val="26"/>
        </w:rPr>
        <w:t>–</w:t>
      </w:r>
      <w:r w:rsidRPr="00BD1D67">
        <w:rPr>
          <w:rFonts w:ascii="Times New Roman" w:hAnsi="Times New Roman"/>
          <w:sz w:val="26"/>
          <w:szCs w:val="26"/>
        </w:rPr>
        <w:t xml:space="preserve"> 6 осей проемов. Фасады правого крыла (дворовые): северный и южный – по 5 осей проемов. </w:t>
      </w:r>
    </w:p>
    <w:p w:rsidR="00BD1D67" w:rsidRPr="00BD1D67" w:rsidRDefault="00BD1D67" w:rsidP="00296C28">
      <w:pPr>
        <w:pStyle w:val="af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sz w:val="26"/>
          <w:szCs w:val="26"/>
        </w:rPr>
        <w:t xml:space="preserve">Элементы фасадного декора: профильные карнизы всех частей основного объема здания (на 3-х этажных частях – с </w:t>
      </w:r>
      <w:proofErr w:type="spellStart"/>
      <w:r w:rsidRPr="00BD1D67">
        <w:rPr>
          <w:rFonts w:ascii="Times New Roman" w:hAnsi="Times New Roman"/>
          <w:sz w:val="26"/>
          <w:szCs w:val="26"/>
        </w:rPr>
        <w:t>аркатурным</w:t>
      </w:r>
      <w:r w:rsidR="00296C28">
        <w:rPr>
          <w:rFonts w:ascii="Times New Roman" w:hAnsi="Times New Roman"/>
          <w:sz w:val="26"/>
          <w:szCs w:val="26"/>
        </w:rPr>
        <w:t>и</w:t>
      </w:r>
      <w:proofErr w:type="spellEnd"/>
      <w:r w:rsidR="00296C28">
        <w:rPr>
          <w:rFonts w:ascii="Times New Roman" w:hAnsi="Times New Roman"/>
          <w:sz w:val="26"/>
          <w:szCs w:val="26"/>
        </w:rPr>
        <w:t xml:space="preserve"> поясом и «сухариками»,             на 2-х этажной центральной части – </w:t>
      </w:r>
      <w:r w:rsidRPr="00BD1D67">
        <w:rPr>
          <w:rFonts w:ascii="Times New Roman" w:hAnsi="Times New Roman"/>
          <w:sz w:val="26"/>
          <w:szCs w:val="26"/>
        </w:rPr>
        <w:t>карниз большого выноса с «сухариками» в виде кронштейнов). Все типы профильных междуэтажных поясов. Лопатки, расположенн</w:t>
      </w:r>
      <w:r w:rsidR="00296C28">
        <w:rPr>
          <w:rFonts w:ascii="Times New Roman" w:hAnsi="Times New Roman"/>
          <w:sz w:val="26"/>
          <w:szCs w:val="26"/>
        </w:rPr>
        <w:t>ые в </w:t>
      </w:r>
      <w:r w:rsidRPr="00BD1D67">
        <w:rPr>
          <w:rFonts w:ascii="Times New Roman" w:hAnsi="Times New Roman"/>
          <w:sz w:val="26"/>
          <w:szCs w:val="26"/>
        </w:rPr>
        <w:t>оконных простенках основного объема здания (н</w:t>
      </w:r>
      <w:r w:rsidR="00296C28">
        <w:rPr>
          <w:rFonts w:ascii="Times New Roman" w:hAnsi="Times New Roman"/>
          <w:sz w:val="26"/>
          <w:szCs w:val="26"/>
        </w:rPr>
        <w:t>а главном и торцевых фасадах, в </w:t>
      </w:r>
      <w:r w:rsidRPr="00BD1D67">
        <w:rPr>
          <w:rFonts w:ascii="Times New Roman" w:hAnsi="Times New Roman"/>
          <w:sz w:val="26"/>
          <w:szCs w:val="26"/>
        </w:rPr>
        <w:t xml:space="preserve">центральной части дворового фасада) и их декор. Элементы обрамления перемычек окон и подоконных свесов с применением лекального кирпича </w:t>
      </w:r>
      <w:r w:rsidR="00296C28">
        <w:rPr>
          <w:rFonts w:ascii="Times New Roman" w:hAnsi="Times New Roman"/>
          <w:sz w:val="26"/>
          <w:szCs w:val="26"/>
        </w:rPr>
        <w:t>(в т.ч. с «сухариками»). Ниши и </w:t>
      </w:r>
      <w:r w:rsidRPr="00BD1D67">
        <w:rPr>
          <w:rFonts w:ascii="Times New Roman" w:hAnsi="Times New Roman"/>
          <w:sz w:val="26"/>
          <w:szCs w:val="26"/>
        </w:rPr>
        <w:t xml:space="preserve">их декор. Массивный профильный пояс в уровне цоколя (на лопатках и углах здания). Ступенчатый аттик с арочным слуховым окном и его декор. Декор дворовых объемов: </w:t>
      </w:r>
      <w:r w:rsidRPr="00BD1D67">
        <w:rPr>
          <w:rFonts w:ascii="Times New Roman" w:hAnsi="Times New Roman"/>
          <w:sz w:val="26"/>
          <w:szCs w:val="26"/>
        </w:rPr>
        <w:lastRenderedPageBreak/>
        <w:t>карниз с 2-х ярусным поясом из «сухариков», лопатки, замковый камень на перемычках проемов, выступающий цоколь.</w:t>
      </w:r>
    </w:p>
    <w:p w:rsidR="00BD1D67" w:rsidRPr="00BD1D67" w:rsidRDefault="00BD1D67" w:rsidP="00296C28">
      <w:pPr>
        <w:pStyle w:val="af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sz w:val="26"/>
          <w:szCs w:val="26"/>
        </w:rPr>
        <w:t>Местоположение и габариты первоначальных входов: основные входы, расположенные со стороны торцевых фасадов – проемы крупные, лучковые для двухстворчатых дверей с остекленными фрамугами. Сл</w:t>
      </w:r>
      <w:r w:rsidR="00296C28">
        <w:rPr>
          <w:rFonts w:ascii="Times New Roman" w:hAnsi="Times New Roman"/>
          <w:sz w:val="26"/>
          <w:szCs w:val="26"/>
        </w:rPr>
        <w:t>ужебные входы, расположенные со </w:t>
      </w:r>
      <w:r w:rsidRPr="00BD1D67">
        <w:rPr>
          <w:rFonts w:ascii="Times New Roman" w:hAnsi="Times New Roman"/>
          <w:sz w:val="26"/>
          <w:szCs w:val="26"/>
        </w:rPr>
        <w:t xml:space="preserve">стороны внутреннего двора  – проемы лучковые и два крупных лучковых проема (ворота). </w:t>
      </w:r>
    </w:p>
    <w:p w:rsidR="00BD1D67" w:rsidRPr="00BD1D67" w:rsidRDefault="00BD1D67" w:rsidP="00296C28">
      <w:pPr>
        <w:pStyle w:val="af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D1D67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проемов. Все типоразмеры лучковых окон. 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296C28">
        <w:rPr>
          <w:rFonts w:ascii="Times New Roman" w:hAnsi="Times New Roman"/>
          <w:sz w:val="26"/>
          <w:szCs w:val="26"/>
        </w:rPr>
        <w:t xml:space="preserve"> на дату строительства здания кон. 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b/>
          <w:sz w:val="26"/>
          <w:szCs w:val="26"/>
        </w:rPr>
        <w:t xml:space="preserve"> </w:t>
      </w:r>
      <w:r w:rsidRPr="00296C28">
        <w:rPr>
          <w:rFonts w:ascii="Times New Roman" w:hAnsi="Times New Roman"/>
          <w:sz w:val="26"/>
          <w:szCs w:val="26"/>
        </w:rPr>
        <w:t xml:space="preserve">в.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Pr="00296C28">
        <w:rPr>
          <w:rFonts w:ascii="Times New Roman" w:hAnsi="Times New Roman"/>
          <w:sz w:val="26"/>
          <w:szCs w:val="26"/>
        </w:rPr>
        <w:t>нач</w:t>
      </w:r>
      <w:proofErr w:type="spellEnd"/>
      <w:r w:rsidRPr="00296C28">
        <w:rPr>
          <w:rFonts w:ascii="Times New Roman" w:hAnsi="Times New Roman"/>
          <w:sz w:val="26"/>
          <w:szCs w:val="26"/>
        </w:rPr>
        <w:t>. ХХ в. Лицевая кирпичная кладка стен и элементы декора (в т.ч. из лекального кирпича).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Колористическое решение фасадов памятника</w:t>
      </w:r>
      <w:r w:rsidRPr="00296C28">
        <w:rPr>
          <w:rFonts w:ascii="Times New Roman" w:hAnsi="Times New Roman"/>
          <w:sz w:val="26"/>
          <w:szCs w:val="26"/>
        </w:rPr>
        <w:t xml:space="preserve"> на дату строительства здания кон. 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b/>
          <w:sz w:val="26"/>
          <w:szCs w:val="26"/>
        </w:rPr>
        <w:t xml:space="preserve"> </w:t>
      </w:r>
      <w:r w:rsidRPr="00296C28">
        <w:rPr>
          <w:rFonts w:ascii="Times New Roman" w:hAnsi="Times New Roman"/>
          <w:sz w:val="26"/>
          <w:szCs w:val="26"/>
        </w:rPr>
        <w:t xml:space="preserve">в.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Pr="00296C28">
        <w:rPr>
          <w:rFonts w:ascii="Times New Roman" w:hAnsi="Times New Roman"/>
          <w:sz w:val="26"/>
          <w:szCs w:val="26"/>
        </w:rPr>
        <w:t>нач</w:t>
      </w:r>
      <w:proofErr w:type="spellEnd"/>
      <w:r w:rsidRPr="00296C28">
        <w:rPr>
          <w:rFonts w:ascii="Times New Roman" w:hAnsi="Times New Roman"/>
          <w:sz w:val="26"/>
          <w:szCs w:val="26"/>
        </w:rPr>
        <w:t>. ХХ в.: натуральный цвет старого кирпича.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autoSpaceDE w:val="0"/>
        <w:autoSpaceDN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Первоначальный вид столярных оконных и дверных заполнений</w:t>
      </w:r>
      <w:r w:rsidR="00296C28">
        <w:rPr>
          <w:rFonts w:ascii="Times New Roman" w:hAnsi="Times New Roman"/>
          <w:sz w:val="26"/>
          <w:szCs w:val="26"/>
        </w:rPr>
        <w:t xml:space="preserve"> их </w:t>
      </w:r>
      <w:r w:rsidRPr="00296C28">
        <w:rPr>
          <w:rFonts w:ascii="Times New Roman" w:hAnsi="Times New Roman"/>
          <w:sz w:val="26"/>
          <w:szCs w:val="26"/>
        </w:rPr>
        <w:t xml:space="preserve">материал (дерево), габариты и форма, рисунок переплета оконных рам. 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 xml:space="preserve">Пространственно-планировочная структура интерьеров здания </w:t>
      </w:r>
      <w:r w:rsidRPr="00296C28">
        <w:rPr>
          <w:rFonts w:ascii="Times New Roman" w:hAnsi="Times New Roman"/>
          <w:sz w:val="26"/>
          <w:szCs w:val="26"/>
        </w:rPr>
        <w:t>в габаритах капитальных несущих конструкций стен и перекрытий на</w:t>
      </w:r>
      <w:r w:rsidR="00296C28">
        <w:rPr>
          <w:rFonts w:ascii="Times New Roman" w:hAnsi="Times New Roman"/>
          <w:sz w:val="26"/>
          <w:szCs w:val="26"/>
        </w:rPr>
        <w:t xml:space="preserve"> дату строительства здания кон. 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="00296C28">
        <w:rPr>
          <w:rFonts w:ascii="Times New Roman" w:hAnsi="Times New Roman"/>
          <w:b/>
          <w:sz w:val="26"/>
          <w:szCs w:val="26"/>
        </w:rPr>
        <w:t> </w:t>
      </w:r>
      <w:r w:rsidRPr="00296C28">
        <w:rPr>
          <w:rFonts w:ascii="Times New Roman" w:hAnsi="Times New Roman"/>
          <w:sz w:val="26"/>
          <w:szCs w:val="26"/>
        </w:rPr>
        <w:t xml:space="preserve">в.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="00296C28">
        <w:rPr>
          <w:rFonts w:ascii="Times New Roman" w:hAnsi="Times New Roman"/>
          <w:sz w:val="26"/>
          <w:szCs w:val="26"/>
        </w:rPr>
        <w:t>нач</w:t>
      </w:r>
      <w:proofErr w:type="spellEnd"/>
      <w:r w:rsidR="00296C28">
        <w:rPr>
          <w:rFonts w:ascii="Times New Roman" w:hAnsi="Times New Roman"/>
          <w:sz w:val="26"/>
          <w:szCs w:val="26"/>
        </w:rPr>
        <w:t>. ХХ </w:t>
      </w:r>
      <w:r w:rsidRPr="00296C28">
        <w:rPr>
          <w:rFonts w:ascii="Times New Roman" w:hAnsi="Times New Roman"/>
          <w:sz w:val="26"/>
          <w:szCs w:val="26"/>
        </w:rPr>
        <w:t xml:space="preserve">в., включая первоначальные габариты дверных проемов всех помещений здания (прямоугольные, лучковые, арочные). Планировка здания – анфиладная, состоящая из большепролетных помещений. 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296C28">
        <w:rPr>
          <w:rFonts w:ascii="Times New Roman" w:hAnsi="Times New Roman"/>
          <w:sz w:val="26"/>
          <w:szCs w:val="26"/>
        </w:rPr>
        <w:t xml:space="preserve"> на дату строительства здания кон. 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Pr="00296C28">
        <w:rPr>
          <w:rFonts w:ascii="Times New Roman" w:hAnsi="Times New Roman"/>
          <w:b/>
          <w:sz w:val="26"/>
          <w:szCs w:val="26"/>
        </w:rPr>
        <w:t xml:space="preserve"> </w:t>
      </w:r>
      <w:r w:rsidRPr="00296C28">
        <w:rPr>
          <w:rFonts w:ascii="Times New Roman" w:hAnsi="Times New Roman"/>
          <w:sz w:val="26"/>
          <w:szCs w:val="26"/>
        </w:rPr>
        <w:t xml:space="preserve">в.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Pr="00296C28">
        <w:rPr>
          <w:rFonts w:ascii="Times New Roman" w:hAnsi="Times New Roman"/>
          <w:sz w:val="26"/>
          <w:szCs w:val="26"/>
        </w:rPr>
        <w:t>нач</w:t>
      </w:r>
      <w:proofErr w:type="spellEnd"/>
      <w:r w:rsidRPr="00296C28">
        <w:rPr>
          <w:rFonts w:ascii="Times New Roman" w:hAnsi="Times New Roman"/>
          <w:sz w:val="26"/>
          <w:szCs w:val="26"/>
        </w:rPr>
        <w:t>. ХХ в. Фундаменты из бутового камня, стены кирпичные, колонны массивные кирпичные квадратные в сечении. Все ви</w:t>
      </w:r>
      <w:r w:rsidR="00296C28">
        <w:rPr>
          <w:rFonts w:ascii="Times New Roman" w:hAnsi="Times New Roman"/>
          <w:sz w:val="26"/>
          <w:szCs w:val="26"/>
        </w:rPr>
        <w:t>ды несущих кирпичных лучковых и </w:t>
      </w:r>
      <w:r w:rsidRPr="00296C28">
        <w:rPr>
          <w:rFonts w:ascii="Times New Roman" w:hAnsi="Times New Roman"/>
          <w:sz w:val="26"/>
          <w:szCs w:val="26"/>
        </w:rPr>
        <w:t>полуциркульных арок. Все виды кирпичных сводов. Пе</w:t>
      </w:r>
      <w:r w:rsidR="00296C28">
        <w:rPr>
          <w:rFonts w:ascii="Times New Roman" w:hAnsi="Times New Roman"/>
          <w:sz w:val="26"/>
          <w:szCs w:val="26"/>
        </w:rPr>
        <w:t>рекрытия из кирпичных сводов по </w:t>
      </w:r>
      <w:r w:rsidRPr="00296C28">
        <w:rPr>
          <w:rFonts w:ascii="Times New Roman" w:hAnsi="Times New Roman"/>
          <w:sz w:val="26"/>
          <w:szCs w:val="26"/>
        </w:rPr>
        <w:t>металлический балкам (в т.ч. в конструкции лестничных площадок), цилиндрический свод с распалубками в местах расположения дверных проемов. Кованые металлические связи.</w:t>
      </w:r>
    </w:p>
    <w:p w:rsidR="00BD1D67" w:rsidRPr="00296C28" w:rsidRDefault="00BD1D67" w:rsidP="00296C28">
      <w:pPr>
        <w:pStyle w:val="af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6C28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296C28">
        <w:rPr>
          <w:rFonts w:ascii="Times New Roman" w:hAnsi="Times New Roman"/>
          <w:sz w:val="26"/>
          <w:szCs w:val="26"/>
        </w:rPr>
        <w:t xml:space="preserve"> на</w:t>
      </w:r>
      <w:r w:rsidR="00296C28">
        <w:rPr>
          <w:rFonts w:ascii="Times New Roman" w:hAnsi="Times New Roman"/>
          <w:sz w:val="26"/>
          <w:szCs w:val="26"/>
        </w:rPr>
        <w:t xml:space="preserve"> дату строительства здания кон. </w:t>
      </w:r>
      <w:r w:rsidRPr="00296C28">
        <w:rPr>
          <w:rFonts w:ascii="Times New Roman" w:hAnsi="Times New Roman"/>
          <w:sz w:val="26"/>
          <w:szCs w:val="26"/>
          <w:lang w:val="en-US"/>
        </w:rPr>
        <w:t>XIX</w:t>
      </w:r>
      <w:r w:rsidR="00296C28">
        <w:rPr>
          <w:rFonts w:ascii="Times New Roman" w:hAnsi="Times New Roman"/>
          <w:b/>
          <w:sz w:val="26"/>
          <w:szCs w:val="26"/>
        </w:rPr>
        <w:t> </w:t>
      </w:r>
      <w:r w:rsidRPr="00296C28">
        <w:rPr>
          <w:rFonts w:ascii="Times New Roman" w:hAnsi="Times New Roman"/>
          <w:sz w:val="26"/>
          <w:szCs w:val="26"/>
        </w:rPr>
        <w:t xml:space="preserve">в. </w:t>
      </w:r>
      <w:r w:rsidRPr="00296C28">
        <w:rPr>
          <w:rFonts w:ascii="Times New Roman" w:hAnsi="Times New Roman"/>
          <w:b/>
          <w:sz w:val="26"/>
          <w:szCs w:val="26"/>
        </w:rPr>
        <w:t xml:space="preserve">– </w:t>
      </w:r>
      <w:proofErr w:type="spellStart"/>
      <w:r w:rsidR="00296C28">
        <w:rPr>
          <w:rFonts w:ascii="Times New Roman" w:hAnsi="Times New Roman"/>
          <w:sz w:val="26"/>
          <w:szCs w:val="26"/>
        </w:rPr>
        <w:t>нач</w:t>
      </w:r>
      <w:proofErr w:type="spellEnd"/>
      <w:r w:rsidR="00296C28">
        <w:rPr>
          <w:rFonts w:ascii="Times New Roman" w:hAnsi="Times New Roman"/>
          <w:sz w:val="26"/>
          <w:szCs w:val="26"/>
        </w:rPr>
        <w:t>. ХХ </w:t>
      </w:r>
      <w:r w:rsidRPr="00296C28">
        <w:rPr>
          <w:rFonts w:ascii="Times New Roman" w:hAnsi="Times New Roman"/>
          <w:sz w:val="26"/>
          <w:szCs w:val="26"/>
        </w:rPr>
        <w:t xml:space="preserve">в. Две 2-х маршевые лестницы, расположенные в торцах здания. </w:t>
      </w:r>
    </w:p>
    <w:p w:rsidR="00BD1D67" w:rsidRPr="00C91DB5" w:rsidRDefault="00BD1D67" w:rsidP="00296C28">
      <w:pPr>
        <w:jc w:val="both"/>
        <w:rPr>
          <w:color w:val="0000FF"/>
          <w:sz w:val="26"/>
          <w:szCs w:val="26"/>
        </w:rPr>
      </w:pPr>
    </w:p>
    <w:bookmarkEnd w:id="16"/>
    <w:bookmarkEnd w:id="17"/>
    <w:p w:rsidR="005A62EF" w:rsidRDefault="005A62EF" w:rsidP="00296C28">
      <w:pPr>
        <w:autoSpaceDE w:val="0"/>
        <w:autoSpaceDN w:val="0"/>
        <w:adjustRightInd w:val="0"/>
        <w:rPr>
          <w:b/>
          <w:sz w:val="26"/>
          <w:szCs w:val="26"/>
        </w:rPr>
      </w:pPr>
    </w:p>
    <w:p w:rsidR="00BD1D67" w:rsidRPr="00C91DB5" w:rsidRDefault="00BD1D67" w:rsidP="00296C28">
      <w:pPr>
        <w:autoSpaceDE w:val="0"/>
        <w:autoSpaceDN w:val="0"/>
        <w:adjustRightInd w:val="0"/>
        <w:rPr>
          <w:b/>
          <w:sz w:val="8"/>
          <w:szCs w:val="8"/>
        </w:rPr>
      </w:pPr>
    </w:p>
    <w:sectPr w:rsidR="00BD1D67" w:rsidRPr="00C91DB5" w:rsidSect="005D264A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1134" w:left="1134" w:header="578" w:footer="1125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D67" w:rsidRDefault="00BD1D67">
      <w:r>
        <w:separator/>
      </w:r>
    </w:p>
  </w:endnote>
  <w:endnote w:type="continuationSeparator" w:id="1">
    <w:p w:rsidR="00BD1D67" w:rsidRDefault="00BD1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D67" w:rsidRDefault="0040506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D1D6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D1D67" w:rsidRDefault="00BD1D6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D67" w:rsidRPr="00770D56" w:rsidRDefault="00BD1D67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BD1D67" w:rsidRPr="00770D56" w:rsidRDefault="00BD1D67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BD1D67" w:rsidRPr="00C91DB5" w:rsidRDefault="00405067" w:rsidP="00C91DB5">
    <w:pPr>
      <w:jc w:val="both"/>
      <w:rPr>
        <w:sz w:val="20"/>
        <w:szCs w:val="20"/>
      </w:rPr>
    </w:pPr>
    <w:hyperlink r:id="rId1" w:history="1">
      <w:r w:rsidR="00BD1D67" w:rsidRPr="00770D56">
        <w:rPr>
          <w:rStyle w:val="aa"/>
          <w:sz w:val="20"/>
          <w:szCs w:val="20"/>
        </w:rPr>
        <w:t>dc-</w:t>
      </w:r>
      <w:r w:rsidR="00BD1D67" w:rsidRPr="00770D56">
        <w:rPr>
          <w:rStyle w:val="aa"/>
          <w:sz w:val="20"/>
          <w:szCs w:val="20"/>
          <w:lang w:val="en-US"/>
        </w:rPr>
        <w:t>ktb</w:t>
      </w:r>
      <w:r w:rsidR="00BD1D67" w:rsidRPr="00770D56">
        <w:rPr>
          <w:rStyle w:val="aa"/>
          <w:sz w:val="20"/>
          <w:szCs w:val="20"/>
        </w:rPr>
        <w:t>@</w:t>
      </w:r>
      <w:r w:rsidR="00BD1D67" w:rsidRPr="00770D56">
        <w:rPr>
          <w:rStyle w:val="aa"/>
          <w:sz w:val="20"/>
          <w:szCs w:val="20"/>
          <w:lang w:val="en-US"/>
        </w:rPr>
        <w:t>cct</w:t>
      </w:r>
      <w:r w:rsidR="00BD1D67" w:rsidRPr="00770D56">
        <w:rPr>
          <w:rStyle w:val="aa"/>
          <w:sz w:val="20"/>
          <w:szCs w:val="20"/>
        </w:rPr>
        <w:t>.</w:t>
      </w:r>
      <w:proofErr w:type="spellStart"/>
      <w:r w:rsidR="00BD1D67" w:rsidRPr="00770D56">
        <w:rPr>
          <w:rStyle w:val="aa"/>
          <w:sz w:val="20"/>
          <w:szCs w:val="20"/>
        </w:rPr>
        <w:t>tomsk.gov.ru</w:t>
      </w:r>
      <w:proofErr w:type="spellEnd"/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D67" w:rsidRDefault="00BD1D67">
      <w:r>
        <w:separator/>
      </w:r>
    </w:p>
  </w:footnote>
  <w:footnote w:type="continuationSeparator" w:id="1">
    <w:p w:rsidR="00BD1D67" w:rsidRDefault="00BD1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D67" w:rsidRDefault="0040506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D1D6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D1D67">
      <w:rPr>
        <w:rStyle w:val="a6"/>
        <w:noProof/>
      </w:rPr>
      <w:t>1</w:t>
    </w:r>
    <w:r>
      <w:rPr>
        <w:rStyle w:val="a6"/>
      </w:rPr>
      <w:fldChar w:fldCharType="end"/>
    </w:r>
  </w:p>
  <w:p w:rsidR="00BD1D67" w:rsidRDefault="00BD1D6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D67" w:rsidRPr="00855067" w:rsidRDefault="00BD1D6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BD1D67" w:rsidRPr="00386933" w:rsidTr="001B2992">
      <w:trPr>
        <w:trHeight w:val="567"/>
      </w:trPr>
      <w:tc>
        <w:tcPr>
          <w:tcW w:w="10206" w:type="dxa"/>
        </w:tcPr>
        <w:p w:rsidR="00BD1D67" w:rsidRPr="001F0845" w:rsidRDefault="00BD1D6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D1D67" w:rsidRPr="001F0845" w:rsidRDefault="00BD1D6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D1D67" w:rsidRPr="00386933" w:rsidTr="001B2992">
      <w:trPr>
        <w:trHeight w:val="567"/>
      </w:trPr>
      <w:tc>
        <w:tcPr>
          <w:tcW w:w="10206" w:type="dxa"/>
        </w:tcPr>
        <w:p w:rsidR="00BD1D67" w:rsidRPr="00386933" w:rsidRDefault="00BD1D6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D1D67" w:rsidRPr="00B6540F" w:rsidRDefault="00BD1D6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9653E4"/>
    <w:multiLevelType w:val="hybridMultilevel"/>
    <w:tmpl w:val="475AA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4A13"/>
    <w:multiLevelType w:val="hybridMultilevel"/>
    <w:tmpl w:val="0A885662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3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DA0554C"/>
    <w:multiLevelType w:val="hybridMultilevel"/>
    <w:tmpl w:val="F9024F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DCC7CE1"/>
    <w:multiLevelType w:val="hybridMultilevel"/>
    <w:tmpl w:val="4EA0A5A0"/>
    <w:lvl w:ilvl="0" w:tplc="BEA41C7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113B04"/>
    <w:multiLevelType w:val="hybridMultilevel"/>
    <w:tmpl w:val="7FF08BCA"/>
    <w:lvl w:ilvl="0" w:tplc="BEA41C7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BEA41C7C">
      <w:start w:val="1"/>
      <w:numFmt w:val="decimal"/>
      <w:lvlText w:val="4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A86E3F"/>
    <w:multiLevelType w:val="hybridMultilevel"/>
    <w:tmpl w:val="CA0E331A"/>
    <w:lvl w:ilvl="0" w:tplc="23F4BAC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33D50B7"/>
    <w:multiLevelType w:val="hybridMultilevel"/>
    <w:tmpl w:val="7E2E0EE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FB0A4D"/>
    <w:multiLevelType w:val="multilevel"/>
    <w:tmpl w:val="945E5BCA"/>
    <w:lvl w:ilvl="0">
      <w:start w:val="1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91" w:hanging="9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4900510E"/>
    <w:multiLevelType w:val="hybridMultilevel"/>
    <w:tmpl w:val="ED44F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54C55646"/>
    <w:multiLevelType w:val="hybridMultilevel"/>
    <w:tmpl w:val="1C9E18FC"/>
    <w:lvl w:ilvl="0" w:tplc="BEA41C7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33">
    <w:nsid w:val="69FB13B8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0B7F2E"/>
    <w:multiLevelType w:val="multilevel"/>
    <w:tmpl w:val="96FCBB66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022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22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2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22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35">
    <w:nsid w:val="6D83162C"/>
    <w:multiLevelType w:val="hybridMultilevel"/>
    <w:tmpl w:val="6AC6B3AE"/>
    <w:lvl w:ilvl="0" w:tplc="D48EE0A6">
      <w:start w:val="1"/>
      <w:numFmt w:val="decimal"/>
      <w:lvlText w:val="1.%1.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6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7">
    <w:nsid w:val="6F525D43"/>
    <w:multiLevelType w:val="hybridMultilevel"/>
    <w:tmpl w:val="1CD47BAA"/>
    <w:lvl w:ilvl="0" w:tplc="5FE663A2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9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2"/>
  </w:num>
  <w:num w:numId="3">
    <w:abstractNumId w:val="16"/>
  </w:num>
  <w:num w:numId="4">
    <w:abstractNumId w:val="25"/>
  </w:num>
  <w:num w:numId="5">
    <w:abstractNumId w:val="38"/>
  </w:num>
  <w:num w:numId="6">
    <w:abstractNumId w:val="9"/>
  </w:num>
  <w:num w:numId="7">
    <w:abstractNumId w:val="28"/>
  </w:num>
  <w:num w:numId="8">
    <w:abstractNumId w:val="14"/>
  </w:num>
  <w:num w:numId="9">
    <w:abstractNumId w:val="15"/>
  </w:num>
  <w:num w:numId="10">
    <w:abstractNumId w:val="20"/>
  </w:num>
  <w:num w:numId="11">
    <w:abstractNumId w:val="4"/>
  </w:num>
  <w:num w:numId="12">
    <w:abstractNumId w:val="8"/>
  </w:num>
  <w:num w:numId="13">
    <w:abstractNumId w:val="30"/>
  </w:num>
  <w:num w:numId="14">
    <w:abstractNumId w:val="27"/>
  </w:num>
  <w:num w:numId="15">
    <w:abstractNumId w:val="13"/>
  </w:num>
  <w:num w:numId="16">
    <w:abstractNumId w:val="11"/>
  </w:num>
  <w:num w:numId="17">
    <w:abstractNumId w:val="36"/>
  </w:num>
  <w:num w:numId="18">
    <w:abstractNumId w:val="10"/>
  </w:num>
  <w:num w:numId="19">
    <w:abstractNumId w:val="12"/>
  </w:num>
  <w:num w:numId="20">
    <w:abstractNumId w:val="6"/>
  </w:num>
  <w:num w:numId="21">
    <w:abstractNumId w:val="3"/>
  </w:num>
  <w:num w:numId="22">
    <w:abstractNumId w:val="22"/>
  </w:num>
  <w:num w:numId="23">
    <w:abstractNumId w:val="26"/>
  </w:num>
  <w:num w:numId="24">
    <w:abstractNumId w:val="31"/>
  </w:num>
  <w:num w:numId="25">
    <w:abstractNumId w:val="5"/>
  </w:num>
  <w:num w:numId="26">
    <w:abstractNumId w:val="32"/>
  </w:num>
  <w:num w:numId="27">
    <w:abstractNumId w:val="33"/>
  </w:num>
  <w:num w:numId="28">
    <w:abstractNumId w:val="23"/>
  </w:num>
  <w:num w:numId="29">
    <w:abstractNumId w:val="7"/>
  </w:num>
  <w:num w:numId="30">
    <w:abstractNumId w:val="24"/>
  </w:num>
  <w:num w:numId="31">
    <w:abstractNumId w:val="35"/>
  </w:num>
  <w:num w:numId="32">
    <w:abstractNumId w:val="37"/>
  </w:num>
  <w:num w:numId="33">
    <w:abstractNumId w:val="21"/>
  </w:num>
  <w:num w:numId="34">
    <w:abstractNumId w:val="34"/>
  </w:num>
  <w:num w:numId="35">
    <w:abstractNumId w:val="18"/>
  </w:num>
  <w:num w:numId="36">
    <w:abstractNumId w:val="29"/>
  </w:num>
  <w:num w:numId="37">
    <w:abstractNumId w:val="19"/>
  </w:num>
  <w:num w:numId="38">
    <w:abstractNumId w:val="1"/>
  </w:num>
  <w:num w:numId="3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438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A7D0A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C28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5067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02CE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5A14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264A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A63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77F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0D2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375B9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575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1D67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1DB5"/>
    <w:rsid w:val="00C95727"/>
    <w:rsid w:val="00CA0DB4"/>
    <w:rsid w:val="00CA3D2A"/>
    <w:rsid w:val="00CA601E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40E2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uiPriority w:val="99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Style19">
    <w:name w:val="Style19"/>
    <w:basedOn w:val="a"/>
    <w:uiPriority w:val="99"/>
    <w:rsid w:val="00BD1D67"/>
    <w:pPr>
      <w:widowControl w:val="0"/>
      <w:autoSpaceDE w:val="0"/>
      <w:autoSpaceDN w:val="0"/>
      <w:adjustRightInd w:val="0"/>
      <w:spacing w:line="298" w:lineRule="exact"/>
    </w:pPr>
    <w:rPr>
      <w:rFonts w:ascii="Cambria" w:hAnsi="Cambr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20</TotalTime>
  <Pages>3</Pages>
  <Words>879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6576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jaee</cp:lastModifiedBy>
  <cp:revision>4</cp:revision>
  <cp:lastPrinted>2017-05-26T03:40:00Z</cp:lastPrinted>
  <dcterms:created xsi:type="dcterms:W3CDTF">2017-05-26T03:21:00Z</dcterms:created>
  <dcterms:modified xsi:type="dcterms:W3CDTF">2017-05-26T05:04:00Z</dcterms:modified>
</cp:coreProperties>
</file>