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footer5.xml" ContentType="application/vnd.openxmlformats-officedocument.wordprocessingml.foot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6233"/>
        <w:gridCol w:w="1706"/>
      </w:tblGrid>
      <w:tr>
        <w:tc>
          <w:tcPr>
            <w:tcW w:w="1700" w:type="dxa"/>
            <w:tcBorders>
              <w:bottom w:val="single" w:color="000000" w:sz="4" w:space="0"/>
            </w:tcBorders>
          </w:tcPr>
          <w:p>
            <w:pPr>
              <w:pStyle w:val="22"/>
              <w:spacing w:before="480"/>
              <w:ind w:right="0"/>
              <w:jc w:val="lef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  <w:tc>
          <w:tcPr>
            <w:tcW w:w="6233" w:type="dxa"/>
            <w:tcMar>
              <w:right w:w="85" w:type="dxa"/>
            </w:tcMar>
          </w:tcPr>
          <w:p>
            <w:pPr>
              <w:pStyle w:val="22"/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 </w:t>
            </w:r>
          </w:p>
        </w:tc>
        <w:tc>
          <w:tcPr>
            <w:tcW w:w="1706" w:type="dxa"/>
            <w:tcBorders>
              <w:bottom w:val="single" w:color="000000" w:sz="4" w:space="0"/>
            </w:tcBorders>
          </w:tcPr>
          <w:p>
            <w:pPr>
              <w:pStyle w:val="22"/>
              <w:spacing w:before="480"/>
              <w:ind w:right="0"/>
              <w:jc w:val="lef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</w:tr>
    </w:tbl>
    <w:p>
      <w:pPr>
        <w:pStyle w:val="ConsPlusNormal"/>
        <w:jc w:val="center"/>
        <w:rPr>
          <w:rFonts w:ascii="PT Astra Serif" w:hAnsi="PT Astra Serif"/>
        </w:rPr>
      </w:pPr>
    </w:p>
    <w:p>
      <w:pPr>
        <w:pStyle w:val="ConsPlusNormal"/>
        <w:jc w:val="center"/>
        <w:rPr>
          <w:rFonts w:ascii="PT Astra Serif" w:hAnsi="PT Astra Serif"/>
        </w:rPr>
      </w:pPr>
    </w:p>
    <w:p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 xml:space="preserve">Об утверждении </w:t>
      </w:r>
      <w:r>
        <w:rPr>
          <w:rFonts w:ascii="PT Astra Serif" w:hAnsi="PT Astra Serif" w:cs="Times New Roman"/>
          <w:sz w:val="28"/>
          <w:szCs w:val="28"/>
          <w:lang w:eastAsia="zh-CN"/>
        </w:rPr>
        <w:t xml:space="preserve">программы профилактики рисков </w:t>
      </w:r>
    </w:p>
    <w:p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  <w:lang w:eastAsia="zh-CN"/>
        </w:rPr>
        <w:t xml:space="preserve">причинения вреда  (ущерба)</w:t>
      </w:r>
    </w:p>
    <w:p>
      <w:pPr>
        <w:pStyle w:val="ConsPlusNormal"/>
        <w:jc w:val="center"/>
        <w:rPr>
          <w:rFonts w:ascii="PT Astra Serif" w:hAnsi="PT Astra Serif" w:cs="Times New Roman"/>
          <w:sz w:val="28"/>
          <w:szCs w:val="28"/>
          <w:lang w:eastAsia="zh-CN"/>
        </w:rPr>
      </w:pPr>
      <w:r>
        <w:rPr>
          <w:rFonts w:ascii="PT Astra Serif" w:hAnsi="PT Astra Serif" w:cs="Times New Roman"/>
          <w:sz w:val="28"/>
          <w:szCs w:val="28"/>
          <w:lang w:eastAsia="zh-CN"/>
        </w:rPr>
        <w:t xml:space="preserve">охра</w:t>
      </w:r>
      <w:r>
        <w:rPr>
          <w:rFonts w:ascii="PT Astra Serif" w:hAnsi="PT Astra Serif" w:cs="Times New Roman"/>
          <w:sz w:val="28"/>
          <w:szCs w:val="28"/>
          <w:lang w:eastAsia="zh-CN"/>
        </w:rPr>
        <w:t xml:space="preserve">няемым законом ценностям на 2025</w:t>
      </w:r>
      <w:r>
        <w:rPr>
          <w:rFonts w:ascii="PT Astra Serif" w:hAnsi="PT Astra Serif" w:cs="Times New Roman"/>
          <w:sz w:val="28"/>
          <w:szCs w:val="28"/>
          <w:lang w:eastAsia="zh-CN"/>
        </w:rPr>
        <w:t xml:space="preserve"> год </w:t>
      </w:r>
    </w:p>
    <w:p>
      <w:pPr>
        <w:jc w:val="center"/>
        <w:rPr>
          <w:rFonts w:ascii="PT Astra Serif" w:hAnsi="PT Astra Serif"/>
          <w:sz w:val="28"/>
          <w:szCs w:val="28"/>
        </w:rPr>
      </w:pPr>
    </w:p>
    <w:p>
      <w:pPr>
        <w:ind w:firstLine="737"/>
        <w:jc w:val="both"/>
      </w:pPr>
      <w:r>
        <w:rPr>
          <w:rFonts w:ascii="PT Astra Serif" w:hAnsi="PT Astra Serif"/>
          <w:sz w:val="28"/>
          <w:szCs w:val="28"/>
        </w:rPr>
        <w:t xml:space="preserve">1. </w:t>
      </w:r>
      <w:r>
        <w:rPr>
          <w:rFonts w:ascii="PT Astra Serif" w:hAnsi="PT Astra Serif"/>
          <w:sz w:val="28"/>
          <w:szCs w:val="28"/>
        </w:rPr>
        <w:t xml:space="preserve">В соответствии со статьей 44 </w:t>
      </w:r>
      <w:r>
        <w:rPr>
          <w:rFonts w:ascii="PT Astra Serif" w:hAnsi="PT Astra Serif" w:cs="PT Astra Serif"/>
          <w:sz w:val="28"/>
          <w:szCs w:val="28"/>
        </w:rPr>
        <w:t xml:space="preserve">Федерального закона от </w:t>
      </w:r>
      <w:r>
        <w:rPr>
          <w:rFonts w:ascii="PT Astra Serif" w:hAnsi="PT Astra Serif" w:cs="PT Astra Serif"/>
          <w:sz w:val="28"/>
          <w:szCs w:val="28"/>
          <w:lang w:eastAsia="zh-CN" w:bidi="ar-SA"/>
        </w:rPr>
        <w:t xml:space="preserve">31</w:t>
      </w:r>
      <w:r>
        <w:rPr>
          <w:rFonts w:ascii="PT Astra Serif" w:hAnsi="PT Astra Serif" w:cs="PT Astra Serif"/>
          <w:sz w:val="28"/>
          <w:szCs w:val="28"/>
        </w:rPr>
        <w:t xml:space="preserve"> июля 2020 года № 248-ФЗ «О государственном контроле (надзоре) и муниципальном контроле в Российской Федерации» и Постановлением Правительства Российской Федерации </w:t>
      </w:r>
      <w:r>
        <w:rPr>
          <w:rFonts w:ascii="PT Astra Serif" w:hAnsi="PT Astra Serif"/>
          <w:sz w:val="28"/>
          <w:szCs w:val="28"/>
        </w:rPr>
        <w:t xml:space="preserve">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утвердить </w:t>
      </w:r>
      <w:r>
        <w:rPr>
          <w:rFonts w:ascii="PT Astra Serif" w:hAnsi="PT Astra Serif"/>
          <w:sz w:val="28"/>
          <w:szCs w:val="28"/>
          <w:lang w:eastAsia="zh-CN" w:bidi="ar-SA"/>
        </w:rPr>
        <w:t xml:space="preserve">программу профилактики рисков причинения вреда  (ущерба) охра</w:t>
      </w:r>
      <w:r>
        <w:rPr>
          <w:rFonts w:ascii="PT Astra Serif" w:hAnsi="PT Astra Serif"/>
          <w:sz w:val="28"/>
          <w:szCs w:val="28"/>
          <w:lang w:eastAsia="zh-CN" w:bidi="ar-SA"/>
        </w:rPr>
        <w:t xml:space="preserve">няемым</w:t>
      </w:r>
      <w:r>
        <w:rPr>
          <w:rFonts w:ascii="PT Astra Serif" w:hAnsi="PT Astra Serif"/>
          <w:sz w:val="28"/>
          <w:szCs w:val="28"/>
          <w:lang w:eastAsia="zh-CN" w:bidi="ar-SA"/>
        </w:rPr>
        <w:t xml:space="preserve"> законом ценностям на 2025</w:t>
      </w:r>
      <w:r>
        <w:rPr>
          <w:rFonts w:ascii="PT Astra Serif" w:hAnsi="PT Astra Serif"/>
          <w:sz w:val="28"/>
          <w:szCs w:val="28"/>
          <w:lang w:eastAsia="zh-CN" w:bidi="ar-SA"/>
        </w:rPr>
        <w:t xml:space="preserve"> год</w:t>
      </w:r>
      <w:r>
        <w:rPr>
          <w:rFonts w:ascii="PT Astra Serif" w:hAnsi="PT Astra Serif"/>
          <w:sz w:val="28"/>
          <w:szCs w:val="28"/>
        </w:rPr>
        <w:t xml:space="preserve"> согласно приложению к настоящему распоряжению.</w:t>
      </w:r>
    </w:p>
    <w:p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>
        <w:rPr>
          <w:rFonts w:ascii="PT Astra Serif" w:hAnsi="PT Astra Serif"/>
          <w:sz w:val="28"/>
          <w:szCs w:val="28"/>
        </w:rPr>
        <w:t xml:space="preserve">Отделу стратегического планирования</w:t>
      </w:r>
      <w:r>
        <w:rPr>
          <w:rFonts w:ascii="PT Astra Serif" w:hAnsi="PT Astra Serif"/>
          <w:sz w:val="28"/>
          <w:szCs w:val="28"/>
        </w:rPr>
        <w:t xml:space="preserve"> Департаме</w:t>
      </w:r>
      <w:r>
        <w:rPr>
          <w:rFonts w:ascii="PT Astra Serif" w:hAnsi="PT Astra Serif"/>
          <w:sz w:val="28"/>
          <w:szCs w:val="28"/>
        </w:rPr>
        <w:t xml:space="preserve">нта по культуре Томской области (Ильичёва Т.И.),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разместить</w:t>
      </w:r>
      <w:r>
        <w:rPr>
          <w:rFonts w:ascii="PT Astra Serif" w:hAnsi="PT Astra Serif"/>
          <w:sz w:val="28"/>
          <w:szCs w:val="28"/>
        </w:rPr>
        <w:t xml:space="preserve"> данное распоряжение на официальном сайте Департамента по культуре Томской области</w:t>
      </w:r>
      <w:r>
        <w:rPr>
          <w:rFonts w:ascii="PT Astra Serif" w:hAnsi="PT Astra Serif" w:eastAsia="Calibri"/>
          <w:sz w:val="28"/>
          <w:szCs w:val="28"/>
        </w:rPr>
        <w:t xml:space="preserve">.</w:t>
      </w:r>
    </w:p>
    <w:p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3. 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Контроль за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 исполнением настоящего распоряжения оставляю за собой.</w:t>
      </w:r>
    </w:p>
    <w:p>
      <w:pPr>
        <w:rPr>
          <w:rFonts w:ascii="PT Astra Serif" w:hAnsi="PT Astra Serif"/>
          <w:sz w:val="28"/>
          <w:szCs w:val="28"/>
        </w:rPr>
      </w:pPr>
    </w:p>
    <w:p>
      <w:pPr>
        <w:rPr>
          <w:rFonts w:ascii="PT Astra Serif" w:hAnsi="PT Astra Serif"/>
          <w:sz w:val="28"/>
          <w:szCs w:val="28"/>
        </w:rPr>
      </w:pPr>
    </w:p>
    <w:p>
      <w:pPr>
        <w:rPr>
          <w:rFonts w:ascii="PT Astra Serif" w:hAnsi="PT Astra Serif"/>
          <w:sz w:val="28"/>
          <w:szCs w:val="28"/>
        </w:rPr>
      </w:pPr>
    </w:p>
    <w:p>
      <w:pPr>
        <w:pStyle w:val="afd"/>
        <w:ind w:left="0" w:right="-227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И.о. начальника Департамента</w:t>
      </w:r>
      <w:r>
        <w:rPr>
          <w:rFonts w:ascii="PT Astra Serif" w:hAnsi="PT Astra Serif"/>
          <w:sz w:val="28"/>
          <w:szCs w:val="28"/>
        </w:rPr>
        <w:tab/>
        <w:t xml:space="preserve">                                                        </w:t>
      </w:r>
      <w:r>
        <w:rPr>
          <w:rFonts w:ascii="PT Astra Serif" w:hAnsi="PT Astra Serif"/>
          <w:sz w:val="28"/>
          <w:szCs w:val="28"/>
          <w:lang w:eastAsia="zh-CN" w:bidi="ar-SA"/>
        </w:rPr>
        <w:t xml:space="preserve">Л.В. </w:t>
      </w:r>
      <w:r>
        <w:rPr>
          <w:rFonts w:ascii="PT Astra Serif" w:hAnsi="PT Astra Serif"/>
          <w:sz w:val="28"/>
          <w:szCs w:val="28"/>
          <w:lang w:eastAsia="zh-CN" w:bidi="ar-SA"/>
        </w:rPr>
        <w:t xml:space="preserve">Важова</w:t>
      </w:r>
      <w:r>
        <w:rPr>
          <w:rFonts w:ascii="PT Astra Serif" w:hAnsi="PT Astra Serif"/>
          <w:sz w:val="28"/>
          <w:szCs w:val="28"/>
        </w:rPr>
        <w:br/>
      </w:r>
    </w:p>
    <w:p>
      <w:pPr>
        <w:pStyle w:val="afd"/>
        <w:ind w:left="0"/>
        <w:rPr>
          <w:rFonts w:ascii="PT Astra Serif" w:hAnsi="PT Astra Serif"/>
          <w:sz w:val="28"/>
          <w:szCs w:val="28"/>
        </w:rPr>
      </w:pPr>
    </w:p>
    <w:p>
      <w:pPr>
        <w:pStyle w:val="aff0"/>
        <w:rPr>
          <w:rFonts w:ascii="PT Astra Serif" w:hAnsi="PT Astra Serif"/>
          <w:sz w:val="28"/>
          <w:szCs w:val="28"/>
        </w:rPr>
      </w:pPr>
    </w:p>
    <w:p>
      <w:pPr>
        <w:pStyle w:val="aff0"/>
        <w:rPr>
          <w:rFonts w:ascii="PT Astra Serif" w:hAnsi="PT Astra Serif"/>
          <w:sz w:val="28"/>
          <w:szCs w:val="28"/>
        </w:rPr>
      </w:pPr>
    </w:p>
    <w:p>
      <w:pPr>
        <w:pStyle w:val="aff0"/>
        <w:rPr>
          <w:rFonts w:ascii="PT Astra Serif" w:hAnsi="PT Astra Serif"/>
          <w:sz w:val="28"/>
          <w:szCs w:val="28"/>
        </w:rPr>
      </w:pPr>
    </w:p>
    <w:p>
      <w:pPr>
        <w:pStyle w:val="aff0"/>
        <w:rPr>
          <w:rFonts w:ascii="PT Astra Serif" w:hAnsi="PT Astra Serif"/>
          <w:sz w:val="28"/>
          <w:szCs w:val="28"/>
        </w:rPr>
      </w:pPr>
    </w:p>
    <w:p>
      <w:pPr>
        <w:pStyle w:val="aff0"/>
        <w:rPr>
          <w:rFonts w:ascii="PT Astra Serif" w:hAnsi="PT Astra Serif"/>
          <w:sz w:val="28"/>
          <w:szCs w:val="28"/>
        </w:rPr>
      </w:pPr>
    </w:p>
    <w:p>
      <w:pPr>
        <w:pStyle w:val="aff0"/>
        <w:rPr>
          <w:rFonts w:ascii="PT Astra Serif" w:hAnsi="PT Astra Serif"/>
          <w:sz w:val="28"/>
          <w:szCs w:val="28"/>
        </w:rPr>
      </w:pPr>
    </w:p>
    <w:p>
      <w:pPr>
        <w:pStyle w:val="aff0"/>
        <w:rPr>
          <w:rFonts w:ascii="PT Astra Serif" w:hAnsi="PT Astra Serif"/>
          <w:sz w:val="28"/>
          <w:szCs w:val="28"/>
        </w:rPr>
      </w:pPr>
    </w:p>
    <w:p>
      <w:pPr>
        <w:pStyle w:val="aff0"/>
        <w:rPr>
          <w:rFonts w:ascii="PT Astra Serif" w:hAnsi="PT Astra Serif"/>
          <w:sz w:val="28"/>
          <w:szCs w:val="28"/>
        </w:rPr>
      </w:pPr>
    </w:p>
    <w:p>
      <w:pPr>
        <w:pStyle w:val="aff0"/>
        <w:rPr>
          <w:rFonts w:ascii="PT Astra Serif" w:hAnsi="PT Astra Serif"/>
          <w:sz w:val="28"/>
          <w:szCs w:val="28"/>
        </w:rPr>
      </w:pPr>
    </w:p>
    <w:p>
      <w:pPr>
        <w:pStyle w:val="aff0"/>
        <w:rPr>
          <w:rFonts w:ascii="PT Astra Serif" w:hAnsi="PT Astra Serif"/>
        </w:rPr>
      </w:pPr>
      <w:r>
        <w:rPr>
          <w:rFonts w:ascii="PT Astra Serif" w:hAnsi="PT Astra Serif"/>
          <w:szCs w:val="20"/>
        </w:rPr>
        <w:t xml:space="preserve">Г.В. </w:t>
      </w:r>
      <w:r>
        <w:rPr>
          <w:rFonts w:ascii="PT Astra Serif" w:hAnsi="PT Astra Serif"/>
          <w:szCs w:val="20"/>
        </w:rPr>
        <w:t xml:space="preserve">Букатова</w:t>
      </w:r>
    </w:p>
    <w:p>
      <w:pPr>
        <w:pStyle w:val="ConsPlusNormal"/>
        <w:ind w:left="5669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 xml:space="preserve">Приложение к распоряжению</w:t>
      </w:r>
    </w:p>
    <w:p>
      <w:pPr>
        <w:pStyle w:val="ConsPlusNormal"/>
        <w:ind w:left="5669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 xml:space="preserve">Департамента по культуре Томской области</w:t>
      </w:r>
    </w:p>
    <w:p>
      <w:pPr>
        <w:pStyle w:val="ConsPlusNormal"/>
        <w:ind w:left="5669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 xml:space="preserve">от _______________№_________</w:t>
      </w:r>
    </w:p>
    <w:p>
      <w:pPr>
        <w:pStyle w:val="ConsPlusNormal"/>
        <w:ind w:left="5669"/>
        <w:rPr>
          <w:rFonts w:ascii="PT Astra Serif" w:hAnsi="PT Astra Serif" w:cs="Times New Roman"/>
          <w:sz w:val="28"/>
          <w:szCs w:val="28"/>
        </w:rPr>
      </w:pPr>
    </w:p>
    <w:p>
      <w:pPr>
        <w:widowControl w:val="off"/>
        <w:jc w:val="center"/>
        <w:rPr>
          <w:rFonts w:ascii="PT Astra Serif" w:hAnsi="PT Astra Serif"/>
          <w:sz w:val="28"/>
          <w:szCs w:val="28"/>
          <w:lang w:eastAsia="zh-CN" w:bidi="ar-SA"/>
        </w:rPr>
      </w:pPr>
      <w:r>
        <w:rPr>
          <w:rFonts w:ascii="PT Astra Serif" w:hAnsi="PT Astra Serif"/>
          <w:sz w:val="28"/>
          <w:szCs w:val="28"/>
          <w:lang w:eastAsia="zh-CN" w:bidi="ar-SA"/>
        </w:rPr>
        <w:t xml:space="preserve">Программа профилактики рисков причинения вреда  (ущерба)</w:t>
      </w:r>
    </w:p>
    <w:p>
      <w:pPr>
        <w:widowControl w:val="off"/>
        <w:jc w:val="center"/>
        <w:rPr>
          <w:rFonts w:ascii="PT Astra Serif" w:hAnsi="PT Astra Serif"/>
          <w:sz w:val="28"/>
          <w:szCs w:val="28"/>
          <w:lang w:eastAsia="zh-CN" w:bidi="ar-SA"/>
        </w:rPr>
      </w:pPr>
      <w:r>
        <w:rPr>
          <w:rFonts w:ascii="PT Astra Serif" w:hAnsi="PT Astra Serif"/>
          <w:sz w:val="28"/>
          <w:szCs w:val="28"/>
          <w:lang w:eastAsia="zh-CN" w:bidi="ar-SA"/>
        </w:rPr>
        <w:t xml:space="preserve">охра</w:t>
      </w:r>
      <w:r>
        <w:rPr>
          <w:rFonts w:ascii="PT Astra Serif" w:hAnsi="PT Astra Serif"/>
          <w:sz w:val="28"/>
          <w:szCs w:val="28"/>
          <w:lang w:eastAsia="zh-CN" w:bidi="ar-SA"/>
        </w:rPr>
        <w:t xml:space="preserve">няемым законом ценностям на 2025</w:t>
      </w:r>
      <w:r>
        <w:rPr>
          <w:rFonts w:ascii="PT Astra Serif" w:hAnsi="PT Astra Serif"/>
          <w:sz w:val="28"/>
          <w:szCs w:val="28"/>
          <w:lang w:eastAsia="zh-CN" w:bidi="ar-SA"/>
        </w:rPr>
        <w:t xml:space="preserve"> год </w:t>
      </w:r>
    </w:p>
    <w:p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 xml:space="preserve">Общие положения</w:t>
      </w:r>
    </w:p>
    <w:p>
      <w:pPr>
        <w:pStyle w:val="ConsPlusNormal"/>
        <w:ind w:firstLine="851"/>
        <w:jc w:val="center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851"/>
        <w:jc w:val="both"/>
      </w:pPr>
      <w:r>
        <w:rPr>
          <w:rFonts w:ascii="PT Astra Serif" w:hAnsi="PT Astra Serif" w:cs="Times New Roman"/>
          <w:sz w:val="28"/>
          <w:szCs w:val="28"/>
        </w:rPr>
        <w:t xml:space="preserve">Настоящая </w:t>
      </w:r>
      <w:bookmarkStart w:id="0" w:name="__DdeLink__632_1561618546"/>
      <w:bookmarkEnd w:id="0"/>
      <w:r>
        <w:rPr>
          <w:rFonts w:ascii="PT Astra Serif" w:hAnsi="PT Astra Serif" w:cs="Times New Roman"/>
          <w:sz w:val="28"/>
          <w:szCs w:val="28"/>
          <w:lang w:eastAsia="zh-CN"/>
        </w:rPr>
        <w:t xml:space="preserve">программа профилактики рисков причинения вреда  (ущерба) охра</w:t>
      </w:r>
      <w:r>
        <w:rPr>
          <w:rFonts w:ascii="PT Astra Serif" w:hAnsi="PT Astra Serif" w:cs="Times New Roman"/>
          <w:sz w:val="28"/>
          <w:szCs w:val="28"/>
          <w:lang w:eastAsia="zh-CN"/>
        </w:rPr>
        <w:t xml:space="preserve">няемым законом ценностям на 2025</w:t>
      </w:r>
      <w:r>
        <w:rPr>
          <w:rFonts w:ascii="PT Astra Serif" w:hAnsi="PT Astra Serif" w:cs="Times New Roman"/>
          <w:sz w:val="28"/>
          <w:szCs w:val="28"/>
          <w:lang w:eastAsia="zh-CN"/>
        </w:rPr>
        <w:t xml:space="preserve"> год</w:t>
      </w:r>
      <w:bookmarkStart w:id="1" w:name="__DdeLink__4307_3445295840"/>
      <w:r>
        <w:rPr>
          <w:rFonts w:ascii="PT Astra Serif" w:hAnsi="PT Astra Serif" w:cs="Times New Roman"/>
          <w:sz w:val="28"/>
          <w:szCs w:val="28"/>
        </w:rPr>
        <w:t xml:space="preserve"> </w:t>
      </w:r>
      <w:bookmarkEnd w:id="1"/>
      <w:r>
        <w:rPr>
          <w:rFonts w:ascii="PT Astra Serif" w:hAnsi="PT Astra Serif" w:cs="Times New Roman"/>
          <w:sz w:val="28"/>
          <w:szCs w:val="28"/>
        </w:rPr>
        <w:t xml:space="preserve">(далее – Программа), разработана в целях предупреждения нарушения юридическими лицами и индивидуальными предпринимателями (далее – </w:t>
      </w:r>
      <w:r>
        <w:rPr>
          <w:rFonts w:ascii="PT Astra Serif" w:hAnsi="PT Astra Serif" w:cs="Times New Roman"/>
          <w:sz w:val="28"/>
          <w:szCs w:val="28"/>
          <w:lang w:eastAsia="zh-CN"/>
        </w:rPr>
        <w:t xml:space="preserve">контролируемые лица</w:t>
      </w:r>
      <w:r>
        <w:rPr>
          <w:rFonts w:ascii="PT Astra Serif" w:hAnsi="PT Astra Serif" w:cs="Times New Roman"/>
          <w:sz w:val="28"/>
          <w:szCs w:val="28"/>
        </w:rPr>
        <w:t xml:space="preserve">) обязательных требований,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соблюдение которых оценивается Департаментом по культуре Томской области (далее – Департамент) при осуществлении регионального государственного контроля (надзора) за соблюдением законодательства об архивном деле </w:t>
      </w:r>
      <w:r>
        <w:rPr>
          <w:rFonts w:ascii="PT Astra Serif" w:hAnsi="PT Astra Serif" w:cs="Times New Roman"/>
          <w:sz w:val="28"/>
          <w:szCs w:val="28"/>
          <w:lang w:eastAsia="zh-CN"/>
        </w:rPr>
        <w:t xml:space="preserve">на территории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(далее – контроль), устранения причин</w:t>
      </w:r>
      <w:r>
        <w:rPr>
          <w:rFonts w:ascii="PT Astra Serif" w:hAnsi="PT Astra Serif" w:cs="Times New Roman"/>
          <w:sz w:val="28"/>
          <w:szCs w:val="28"/>
        </w:rPr>
        <w:t xml:space="preserve">, факторов и условий, способствующих нарушению таких обязательных требований.</w:t>
      </w:r>
    </w:p>
    <w:p>
      <w:pPr>
        <w:pStyle w:val="ConsPlusNormal"/>
        <w:ind w:firstLine="851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 xml:space="preserve">Организация и проведение профилактических мероприятий Департамента, направленных на предупреждение нарушения обязательных требований, осуществляется ответственными исполнителями на основании </w:t>
      </w:r>
      <w:r>
        <w:rPr>
          <w:rFonts w:ascii="PT Astra Serif" w:hAnsi="PT Astra Serif" w:cs="Times New Roman"/>
          <w:sz w:val="28"/>
          <w:szCs w:val="28"/>
          <w:lang w:eastAsia="zh-CN"/>
        </w:rPr>
        <w:t xml:space="preserve">Перечня профилактических мероприятий, являющегося частью Программы</w:t>
      </w:r>
      <w:r>
        <w:rPr>
          <w:rFonts w:ascii="PT Astra Serif" w:hAnsi="PT Astra Serif" w:cs="Times New Roman"/>
          <w:sz w:val="28"/>
          <w:szCs w:val="28"/>
        </w:rPr>
        <w:t xml:space="preserve">.</w:t>
      </w:r>
    </w:p>
    <w:p>
      <w:pPr>
        <w:pStyle w:val="ConsPlusNormal"/>
        <w:ind w:firstLine="851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 xml:space="preserve">Департамент ежегодно в срок до 1 февраля года, следующего за годом утверждения Программы, готовит доклад об итогах профилактических работ за год. Доклад об итогах профилактической работы должен включать в себя результаты мониторинга и уровня развития Программы и эффективности и результативности профилактических мероприятий.</w:t>
      </w:r>
    </w:p>
    <w:p>
      <w:pPr>
        <w:pStyle w:val="ConsPlusNormal"/>
        <w:ind w:firstLine="851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 xml:space="preserve">Информация о текущих результатах профилактической работы, готовящихся и состоявшихся профилактических мероприятиях, а также Программа должны размещаться на официальном сайте Департамента.</w:t>
      </w:r>
    </w:p>
    <w:p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 xml:space="preserve">Анализ текущего состояния регионального государственного </w:t>
      </w:r>
    </w:p>
    <w:p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 xml:space="preserve">контроля (надзора) за соблюдением законодательства об архивном деле, описание текущего состояния и развития профилактической деятельности Департамента, характеристика проблем, на решение которых  направлена Программа</w:t>
      </w:r>
    </w:p>
    <w:p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</w:p>
    <w:p>
      <w:pPr>
        <w:pStyle w:val="31"/>
        <w:spacing w:before="0" w:after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В деятельности организаций ежегодно образуется значительный объем документов, имеющих историческую ценность и социальную значимость. Во всех организациях создаются личные дела работников, лицевые счета и другие документы, подтверждающие размер заработной платы, документы о награждении. Организации-источники комплектования государственных и </w:t>
      </w:r>
      <w:r>
        <w:rPr>
          <w:rFonts w:ascii="PT Astra Serif" w:hAnsi="PT Astra Serif"/>
          <w:sz w:val="28"/>
          <w:szCs w:val="28"/>
        </w:rPr>
        <w:t xml:space="preserve">муниципальных архивов создают документы, которые могут быть включены в состав Архивного фонда Российской Федерации и в дальнейшем отнесены к числу особо ценных и уникальных документов Томской области.  Государственные и муниципальные архивы осуществляют хранение, комплектование, учет и использование документов Архивного фонда Российской Федерации и других архивных документов. </w:t>
      </w:r>
    </w:p>
    <w:p>
      <w:pPr>
        <w:pStyle w:val="31"/>
        <w:spacing w:before="0" w:after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Во многих организациях финансирование деятельности по упорядочению документов и обеспечение надлежащих условий хранения осуществляется по остаточному принципу, нагрузка по осуществлению этой деятельности возлагается дополнительно на специалистов, имеющих другие должностные обязанности. Это влечет нарушение законодательства об архивном деле: не производится экспертиза ценности, дела хранятся неоформленные и не описанные, что создает сложности для поиска необходимых документов и может повлечь нарушение прав граждан и организаций на предоставление информации. Ненадлежащие условия хранения создают угрозу утраты архивных документов, их физического и биологического повреждения. </w:t>
      </w:r>
    </w:p>
    <w:p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 xml:space="preserve">Наиболее значимыми рисками деятельности в сфере архивного дела являются:</w:t>
      </w:r>
    </w:p>
    <w:p>
      <w:pPr>
        <w:pStyle w:val="af1"/>
        <w:numPr>
          <w:numId w:val="1"/>
          <w:ilvl w:val="0"/>
        </w:numPr>
        <w:tabs>
          <w:tab w:val="left" w:pos="993"/>
        </w:tabs>
        <w:ind w:left="0" w:firstLine="709"/>
        <w:jc w:val="both"/>
      </w:pPr>
      <w:r>
        <w:rPr>
          <w:rFonts w:ascii="PT Astra Serif" w:hAnsi="PT Astra Serif"/>
          <w:sz w:val="28"/>
          <w:szCs w:val="28"/>
        </w:rPr>
        <w:t xml:space="preserve">утрата документов Архивного фонда Российской Федерации и других архивных документов, их физическое или биологическое повреждение. </w:t>
      </w:r>
      <w:r>
        <w:rPr>
          <w:rFonts w:ascii="PT Astra Serif" w:hAnsi="PT Astra Serif"/>
          <w:sz w:val="28"/>
          <w:szCs w:val="28"/>
        </w:rPr>
        <w:t xml:space="preserve">В соответствии со статьей 17 Федерального закона от 22 октября 2004 года №125-ФЗ «Об архивном деле в Российской Федерации» (далее – Федеральный закон №125-ФЗ) г</w:t>
      </w:r>
      <w:r>
        <w:rPr>
          <w:rFonts w:ascii="PT Astra Serif" w:hAnsi="PT Astra Serif" w:eastAsia="Calibri"/>
          <w:sz w:val="28"/>
          <w:szCs w:val="28"/>
        </w:rPr>
        <w:t xml:space="preserve">осударственные органы, органы местного самоуправления, организации и граждане, занимающиеся предпринимательской деятельностью без образования юридического лица, обязаны обеспечивать сохранность архивных документов, в том числе документов по личному составу, в течение </w:t>
      </w:r>
      <w:hyperlink r:id="rId19">
        <w:r>
          <w:rPr>
            <w:rFonts w:ascii="PT Astra Serif" w:hAnsi="PT Astra Serif" w:eastAsia="Calibri"/>
            <w:sz w:val="28"/>
            <w:szCs w:val="28"/>
          </w:rPr>
          <w:t xml:space="preserve">сроков</w:t>
        </w:r>
      </w:hyperlink>
      <w:r>
        <w:rPr>
          <w:rFonts w:ascii="PT Astra Serif" w:hAnsi="PT Astra Serif" w:eastAsia="Calibri"/>
          <w:sz w:val="28"/>
          <w:szCs w:val="28"/>
        </w:rPr>
        <w:t xml:space="preserve"> их хранения, установленных федеральными законами или иными</w:t>
      </w:r>
      <w:r>
        <w:rPr>
          <w:rFonts w:ascii="PT Astra Serif" w:hAnsi="PT Astra Serif" w:eastAsia="Calibri"/>
          <w:sz w:val="28"/>
          <w:szCs w:val="28"/>
        </w:rPr>
        <w:t xml:space="preserve"> нормативными правовыми актами Российской Федерации. </w:t>
      </w:r>
      <w:r>
        <w:rPr>
          <w:rFonts w:ascii="PT Astra Serif" w:hAnsi="PT Astra Serif"/>
          <w:sz w:val="28"/>
          <w:szCs w:val="28"/>
        </w:rPr>
        <w:t xml:space="preserve">Г</w:t>
      </w:r>
      <w:r>
        <w:rPr>
          <w:rFonts w:ascii="PT Astra Serif" w:hAnsi="PT Astra Serif" w:eastAsia="Calibri"/>
          <w:sz w:val="28"/>
          <w:szCs w:val="28"/>
        </w:rPr>
        <w:t xml:space="preserve">осударственные органы, органы местного самоуправления, организации и граждане, занимающиеся предпринимательской деятельностью без образования юридического лица, являющиеся источниками комплектования государственных (муниципальных) архивов, обязаны также передавать документы Архивного фонда Российской Федерации на постоянное хранение в государственные (муниципальные) архивы. </w:t>
      </w:r>
      <w:r>
        <w:rPr>
          <w:rFonts w:ascii="PT Astra Serif" w:hAnsi="PT Astra Serif"/>
          <w:sz w:val="28"/>
          <w:szCs w:val="28"/>
        </w:rPr>
        <w:t xml:space="preserve">Несоблюдение этих обязанностей, либо ненадлежащее их соблюдение может повлечь утрату исторически значимой информации;</w:t>
      </w:r>
    </w:p>
    <w:p>
      <w:pPr>
        <w:pStyle w:val="af1"/>
        <w:numPr>
          <w:numId w:val="1"/>
          <w:ilvl w:val="0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нарушение конституционного права граждан и организаций на получение информации. </w:t>
      </w:r>
      <w:r>
        <w:rPr>
          <w:rFonts w:ascii="PT Astra Serif" w:hAnsi="PT Astra Serif"/>
          <w:sz w:val="28"/>
          <w:szCs w:val="28"/>
        </w:rPr>
        <w:t xml:space="preserve">Утрата документов Архивного фонда Российской Федерации и других архивных документов, их физическое или биологическое повреждение влечет не только утрату исторически значимой информации, она также создает трудности или делает невозможным реализацию права граждан и организаций на получение информации, что, в свою очередь, может повлечь невозможность подтверждения трудового стажа, размера заработной платы, фактов награждения и негативно сказаться на качестве жизни граждан.</w:t>
      </w:r>
    </w:p>
    <w:p>
      <w:pPr>
        <w:pStyle w:val="af1"/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Федеральным законом №125-ФЗ предусмотрено осуществление контроля уполномоченными органами исполнительной власти субъектов Российской Федерации в области архивного дела за соблюдением обязательных </w:t>
      </w:r>
      <w:r>
        <w:rPr>
          <w:rFonts w:ascii="PT Astra Serif" w:hAnsi="PT Astra Serif"/>
          <w:color w:val="000000"/>
          <w:sz w:val="28"/>
          <w:szCs w:val="28"/>
        </w:rPr>
        <w:t xml:space="preserve">требований</w:t>
      </w:r>
      <w:r>
        <w:rPr>
          <w:rFonts w:ascii="PT Astra Serif" w:hAnsi="PT Astra Serif"/>
          <w:sz w:val="28"/>
          <w:szCs w:val="28"/>
        </w:rPr>
        <w:t xml:space="preserve">, установленных в соответствии с федеральными законами Российской Федерации и иными нормативными правовыми актами Российской Федерации, законами субъектов Российской Федерации и иными нормативными правовыми актами субъектов Российской Федерации, к организации хранения, комплектования, учета и использования документов Архивного фонда Российской Федерации</w:t>
      </w:r>
      <w:r>
        <w:rPr>
          <w:rFonts w:ascii="PT Astra Serif" w:hAnsi="PT Astra Serif"/>
          <w:sz w:val="28"/>
          <w:szCs w:val="28"/>
        </w:rPr>
        <w:t xml:space="preserve"> и других архивных документов на территории соответствующего субъекта Российской Федерации, за исключением случаев, указанных в </w:t>
      </w:r>
      <w:r>
        <w:rPr>
          <w:rFonts w:ascii="PT Astra Serif" w:hAnsi="PT Astra Serif"/>
          <w:color w:val="000000"/>
          <w:sz w:val="28"/>
          <w:szCs w:val="28"/>
        </w:rPr>
        <w:t xml:space="preserve">пункте 1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  <w:lang w:eastAsia="zh-CN" w:bidi="ar-SA"/>
        </w:rPr>
        <w:t xml:space="preserve">части 2 статьи 16 Федерального закона № 125-ФЗ</w:t>
      </w:r>
      <w:r>
        <w:rPr>
          <w:rFonts w:ascii="PT Astra Serif" w:hAnsi="PT Astra Serif"/>
          <w:sz w:val="28"/>
          <w:szCs w:val="28"/>
        </w:rPr>
        <w:t xml:space="preserve">.</w:t>
      </w:r>
    </w:p>
    <w:p>
      <w:pPr>
        <w:pStyle w:val="af1"/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hyperlink r:id="rId20">
        <w:r>
          <w:rPr>
            <w:rFonts w:ascii="PT Astra Serif" w:hAnsi="PT Astra Serif" w:eastAsia="Calibri"/>
            <w:sz w:val="28"/>
            <w:szCs w:val="28"/>
          </w:rPr>
          <w:t xml:space="preserve"> </w:t>
        </w:r>
        <w:r>
          <w:rPr>
            <w:rFonts w:ascii="PT Astra Serif" w:hAnsi="PT Astra Serif"/>
            <w:bCs/>
            <w:sz w:val="28"/>
            <w:szCs w:val="28"/>
          </w:rPr>
          <w:t xml:space="preserve">Положение о </w:t>
        </w:r>
        <w:r>
          <w:rPr>
            <w:rFonts w:ascii="PT Astra Serif" w:hAnsi="PT Astra Serif"/>
            <w:sz w:val="28"/>
            <w:szCs w:val="28"/>
          </w:rPr>
          <w:t xml:space="preserve">Департаменте по культуре Томской области, утвержденное п</w:t>
        </w:r>
        <w:r>
          <w:rPr>
            <w:rFonts w:ascii="PT Astra Serif" w:hAnsi="PT Astra Serif"/>
            <w:bCs/>
            <w:sz w:val="28"/>
            <w:szCs w:val="28"/>
          </w:rPr>
          <w:t xml:space="preserve">остановлением Губернатора</w:t>
        </w:r>
        <w:r>
          <w:rPr>
            <w:rFonts w:ascii="PT Astra Serif" w:hAnsi="PT Astra Serif"/>
            <w:sz w:val="28"/>
            <w:szCs w:val="28"/>
          </w:rPr>
          <w:t xml:space="preserve"> Томской области</w:t>
        </w:r>
        <w:r>
          <w:rPr>
            <w:rFonts w:ascii="PT Astra Serif" w:hAnsi="PT Astra Serif"/>
            <w:bCs/>
            <w:sz w:val="28"/>
            <w:szCs w:val="28"/>
          </w:rPr>
          <w:t xml:space="preserve"> от 14 ноября 2012 года №158, определяет, что таким органом государственной власти, уполномоченным осуществлять </w:t>
        </w:r>
        <w:r>
          <w:rPr>
            <w:rFonts w:ascii="PT Astra Serif" w:hAnsi="PT Astra Serif"/>
            <w:bCs/>
            <w:sz w:val="28"/>
            <w:szCs w:val="28"/>
          </w:rPr>
          <w:t xml:space="preserve">контроль </w:t>
        </w:r>
        <w:r>
          <w:rPr>
            <w:rFonts w:ascii="PT Astra Serif" w:hAnsi="PT Astra Serif"/>
            <w:sz w:val="28"/>
            <w:szCs w:val="28"/>
          </w:rPr>
          <w:t xml:space="preserve">за</w:t>
        </w:r>
        <w:r>
          <w:rPr>
            <w:rFonts w:ascii="PT Astra Serif" w:hAnsi="PT Astra Serif"/>
            <w:sz w:val="28"/>
            <w:szCs w:val="28"/>
          </w:rPr>
          <w:t xml:space="preserve"> соблюдением законодательства об архивном деле</w:t>
        </w:r>
        <w:r>
          <w:rPr>
            <w:rFonts w:ascii="PT Astra Serif" w:hAnsi="PT Astra Serif"/>
            <w:bCs/>
            <w:sz w:val="28"/>
            <w:szCs w:val="28"/>
          </w:rPr>
          <w:t xml:space="preserve"> на территории Томской области является Департамент по культуре Томской области.</w:t>
        </w:r>
      </w:hyperlink>
    </w:p>
    <w:p>
      <w:pPr>
        <w:pStyle w:val="af1"/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Контроль направлен на реализацию мер по </w:t>
      </w:r>
      <w:r>
        <w:rPr>
          <w:rFonts w:ascii="PT Astra Serif" w:hAnsi="PT Astra Serif"/>
          <w:sz w:val="28"/>
          <w:szCs w:val="28"/>
        </w:rPr>
        <w:t xml:space="preserve">контролю за</w:t>
      </w:r>
      <w:r>
        <w:rPr>
          <w:rFonts w:ascii="PT Astra Serif" w:hAnsi="PT Astra Serif"/>
          <w:sz w:val="28"/>
          <w:szCs w:val="28"/>
        </w:rPr>
        <w:t xml:space="preserve"> соблюдением архивного законодательства и уменьшения вреда от нарушения этого законодательства государству и гражданам.</w:t>
      </w:r>
    </w:p>
    <w:p>
      <w:pPr>
        <w:pStyle w:val="af1"/>
        <w:tabs>
          <w:tab w:val="left" w:pos="993"/>
        </w:tabs>
        <w:ind w:left="0" w:firstLine="709"/>
        <w:jc w:val="both"/>
        <w:rPr>
          <w:rFonts w:ascii="PT Astra Serif" w:hAnsi="PT Astra Serif"/>
          <w:color w:val="ff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Положением о региональном государственном контроле (надзоре) за соблюдением законодательства об архивном деле на территории Томской области, утвержденным Постановлением Администрации Томской области от 01.10.2021 </w:t>
      </w:r>
      <w:r>
        <w:rPr>
          <w:rFonts w:ascii="PT Astra Serif" w:hAnsi="PT Astra Serif"/>
          <w:sz w:val="28"/>
          <w:szCs w:val="28"/>
          <w:lang w:eastAsia="zh-CN" w:bidi="ar-SA"/>
        </w:rPr>
        <w:t xml:space="preserve">№</w:t>
      </w:r>
      <w:r>
        <w:rPr>
          <w:rFonts w:ascii="PT Astra Serif" w:hAnsi="PT Astra Serif"/>
          <w:sz w:val="28"/>
          <w:szCs w:val="28"/>
        </w:rPr>
        <w:t xml:space="preserve"> 419а, контроль в сфере архивного дела  осуществляется на основе управления рисками причинения вреда (ущерба), определяющего выбор контрольных (надзорных) мероприятий, их содержание (в том числе объем проверяемых обязательных требований в сфере архивного дела), интенсивность и</w:t>
      </w:r>
      <w:r>
        <w:rPr>
          <w:rFonts w:ascii="PT Astra Serif" w:hAnsi="PT Astra Serif"/>
          <w:sz w:val="28"/>
          <w:szCs w:val="28"/>
        </w:rPr>
        <w:t xml:space="preserve"> результаты. Для целей управления рисками причинения вреда (ущерба) документам Архивного фонда Российской Федерации и другим архивным документам, при осуществлении контроля в сфере архивного дела </w:t>
      </w:r>
      <w:r>
        <w:rPr>
          <w:rFonts w:ascii="PT Astra Serif" w:hAnsi="PT Astra Serif"/>
          <w:sz w:val="28"/>
          <w:szCs w:val="28"/>
        </w:rPr>
        <w:t xml:space="preserve">объекты контроля относятся к следующим категориям риска причинения вреда (ущерба) (далее – категории риска): значи</w:t>
      </w:r>
      <w:r>
        <w:rPr>
          <w:rFonts w:ascii="PT Astra Serif" w:hAnsi="PT Astra Serif"/>
          <w:sz w:val="28"/>
          <w:szCs w:val="28"/>
        </w:rPr>
        <w:t xml:space="preserve">тельного риска, среднего риска </w:t>
      </w:r>
      <w:r>
        <w:rPr>
          <w:rFonts w:ascii="PT Astra Serif" w:hAnsi="PT Astra Serif"/>
          <w:sz w:val="28"/>
          <w:szCs w:val="28"/>
        </w:rPr>
        <w:t xml:space="preserve">и низкого риска.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</w:p>
    <w:p>
      <w:pPr>
        <w:pStyle w:val="af1"/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При отнесении объектов контроля к определенной категории риска при осуществлении контроля в сфере архивного дела учитывается тяжесть потенциальных негативных последствий возможного несоблюдения контролируемыми лицами обязательных требований в сфере архивного дела.</w:t>
      </w:r>
    </w:p>
    <w:p>
      <w:pPr>
        <w:pStyle w:val="af1"/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hyperlink r:id="rId21">
        <w:r>
          <w:rPr>
            <w:rFonts w:ascii="PT Astra Serif" w:hAnsi="PT Astra Serif"/>
            <w:sz w:val="28"/>
            <w:szCs w:val="28"/>
          </w:rPr>
          <w:t xml:space="preserve">По результатам проверок в связи с выявленными нарушениями обязательных требований Департаментом было вынесено предписаний:</w:t>
        </w:r>
      </w:hyperlink>
    </w:p>
    <w:p>
      <w:pPr>
        <w:pStyle w:val="af1"/>
        <w:tabs>
          <w:tab w:val="left" w:pos="993"/>
        </w:tabs>
        <w:ind w:left="0" w:firstLine="737"/>
        <w:rPr>
          <w:rFonts w:ascii="PT Astra Serif" w:hAnsi="PT Astra Serif"/>
        </w:rPr>
      </w:pPr>
      <w:hyperlink r:id="rId22">
        <w:r>
          <w:rPr>
            <w:rFonts w:ascii="PT Astra Serif" w:hAnsi="PT Astra Serif"/>
            <w:sz w:val="28"/>
            <w:szCs w:val="28"/>
          </w:rPr>
          <w:t xml:space="preserve">− в 2020 году – 4</w:t>
        </w:r>
      </w:hyperlink>
      <w:r>
        <w:rPr>
          <w:rFonts w:ascii="PT Astra Serif" w:hAnsi="PT Astra Serif"/>
          <w:sz w:val="28"/>
          <w:szCs w:val="28"/>
        </w:rPr>
        <w:t xml:space="preserve">;</w:t>
      </w:r>
    </w:p>
    <w:p>
      <w:pPr>
        <w:pStyle w:val="af1"/>
        <w:tabs>
          <w:tab w:val="left" w:pos="993"/>
        </w:tabs>
        <w:ind w:left="0" w:firstLine="737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– в 2021 году – 20.</w:t>
      </w:r>
    </w:p>
    <w:p>
      <w:pPr>
        <w:pStyle w:val="af1"/>
        <w:tabs>
          <w:tab w:val="left" w:pos="993"/>
        </w:tabs>
        <w:ind w:left="0" w:firstLine="737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К</w:t>
      </w:r>
      <w:r>
        <w:rPr>
          <w:rFonts w:ascii="PT Astra Serif" w:hAnsi="PT Astra Serif"/>
          <w:sz w:val="28"/>
          <w:szCs w:val="28"/>
        </w:rPr>
        <w:t xml:space="preserve">онтрольные (надзорные) мероприятия, а также профилактические мероприятия проводятся в соответствии с Федеральным законом от 31 июля </w:t>
      </w:r>
      <w:r>
        <w:rPr>
          <w:rFonts w:ascii="PT Astra Serif" w:hAnsi="PT Astra Serif"/>
          <w:sz w:val="28"/>
          <w:szCs w:val="28"/>
        </w:rPr>
        <w:t xml:space="preserve">2020 года № 248-ФЗ «О государственном контроле (надзоре) и муниципальном контроле в Российской Федерации». Во исполнение него принят целый ряд нормативных правовых документов федерального  и регионального уровня.</w:t>
      </w:r>
    </w:p>
    <w:p>
      <w:pPr>
        <w:pStyle w:val="af1"/>
        <w:tabs>
          <w:tab w:val="left" w:pos="993"/>
        </w:tabs>
        <w:ind w:left="0" w:firstLine="737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Так, осуществление регионального государственного контроля (надзора) за соблюдением законодательства об архивном деле на территории Томской области с 10 октября 2021 года регулируется Постановлением Администрации Томской области от 01.10.2021 </w:t>
      </w:r>
      <w:r>
        <w:rPr>
          <w:rFonts w:ascii="PT Astra Serif" w:hAnsi="PT Astra Serif"/>
          <w:sz w:val="28"/>
          <w:szCs w:val="28"/>
          <w:lang w:eastAsia="zh-CN" w:bidi="ar-SA"/>
        </w:rPr>
        <w:t xml:space="preserve">№</w:t>
      </w:r>
      <w:r>
        <w:rPr>
          <w:rFonts w:ascii="PT Astra Serif" w:hAnsi="PT Astra Serif"/>
          <w:sz w:val="28"/>
          <w:szCs w:val="28"/>
        </w:rPr>
        <w:t xml:space="preserve"> 419а «Об утверждении Положения о региональном государственном контроле (надзоре) за соблюдением законодательства об архивном деле на территории Томской области». Приказ Департамента по культуре и туризму Томской области от 6 марта 2017 года     № 048/01-09 «Об утверждении Административного регламента осуществления регионального государственного </w:t>
      </w:r>
      <w:r>
        <w:rPr>
          <w:rFonts w:ascii="PT Astra Serif" w:hAnsi="PT Astra Serif"/>
          <w:sz w:val="28"/>
          <w:szCs w:val="28"/>
        </w:rPr>
        <w:t xml:space="preserve">контроля за</w:t>
      </w:r>
      <w:r>
        <w:rPr>
          <w:rFonts w:ascii="PT Astra Serif" w:hAnsi="PT Astra Serif"/>
          <w:sz w:val="28"/>
          <w:szCs w:val="28"/>
        </w:rPr>
        <w:t xml:space="preserve"> соблюдением законодательства об архивном деле» утратил силу.</w:t>
      </w:r>
    </w:p>
    <w:p>
      <w:pPr>
        <w:pStyle w:val="af1"/>
        <w:tabs>
          <w:tab w:val="left" w:pos="993"/>
        </w:tabs>
        <w:ind w:left="0" w:firstLine="737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В 2022</w:t>
      </w:r>
      <w:r>
        <w:rPr>
          <w:rFonts w:ascii="PT Astra Serif" w:hAnsi="PT Astra Serif"/>
          <w:sz w:val="28"/>
          <w:szCs w:val="28"/>
        </w:rPr>
        <w:t xml:space="preserve">–2024</w:t>
      </w:r>
      <w:r>
        <w:rPr>
          <w:rFonts w:ascii="PT Astra Serif" w:hAnsi="PT Astra Serif"/>
          <w:sz w:val="28"/>
          <w:szCs w:val="28"/>
        </w:rPr>
        <w:t xml:space="preserve"> годах проведение контрольных (надзорных) мероприятий ограничено Постановлением Правительства Российской Федерации от 10 марта 2022 года № 336 «Об особенностях организации и осуществления государственного контроля (надзора), муниципального контроля». В связи с этим деятельность Департамента по культуре Томской области была сосредоточена на проведении профилактических мероприятий.</w:t>
      </w:r>
    </w:p>
    <w:p>
      <w:pPr>
        <w:pStyle w:val="af1"/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В целях профилактики нарушений обязательных требован</w:t>
      </w:r>
      <w:r>
        <w:rPr>
          <w:rFonts w:ascii="PT Astra Serif" w:hAnsi="PT Astra Serif"/>
          <w:sz w:val="28"/>
          <w:szCs w:val="28"/>
        </w:rPr>
        <w:t xml:space="preserve">ий по состоянию на сентябрь 2024</w:t>
      </w:r>
      <w:r>
        <w:rPr>
          <w:rFonts w:ascii="PT Astra Serif" w:hAnsi="PT Astra Serif"/>
          <w:sz w:val="28"/>
          <w:szCs w:val="28"/>
        </w:rPr>
        <w:t xml:space="preserve"> года Департаментом проведены следующие профилактические мероприятия:</w:t>
      </w:r>
    </w:p>
    <w:p>
      <w:pPr>
        <w:pStyle w:val="ClassyRed1LTGliederung1"/>
        <w:tabs>
          <w:tab w:val="left" w:pos="993"/>
        </w:tabs>
        <w:spacing w:after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— </w:t>
      </w:r>
      <w:r>
        <w:rPr>
          <w:rFonts w:ascii="PT Astra Serif" w:hAnsi="PT Astra Serif"/>
          <w:sz w:val="28"/>
          <w:szCs w:val="28"/>
        </w:rPr>
        <w:t xml:space="preserve">разработана и размещена на официальном сайте Департамента </w:t>
      </w:r>
      <w:r>
        <w:rPr>
          <w:rFonts w:ascii="PT Astra Serif" w:hAnsi="PT Astra Serif" w:eastAsia="Times New Roman" w:cs="Times New Roman"/>
          <w:sz w:val="28"/>
          <w:szCs w:val="28"/>
          <w:lang w:eastAsia="zh-CN"/>
        </w:rPr>
        <w:t xml:space="preserve">программа профилактики рисков причинения вреда  (ущерба) охраняемым законом ценностя</w:t>
      </w:r>
      <w:r>
        <w:rPr>
          <w:rFonts w:ascii="PT Astra Serif" w:hAnsi="PT Astra Serif" w:eastAsia="Times New Roman" w:cs="Times New Roman"/>
          <w:sz w:val="28"/>
          <w:szCs w:val="28"/>
          <w:lang w:eastAsia="zh-CN"/>
        </w:rPr>
        <w:t xml:space="preserve">м на 2024</w:t>
      </w:r>
      <w:r>
        <w:rPr>
          <w:rFonts w:ascii="PT Astra Serif" w:hAnsi="PT Astra Serif" w:eastAsia="Times New Roman" w:cs="Times New Roman"/>
          <w:sz w:val="28"/>
          <w:szCs w:val="28"/>
          <w:lang w:eastAsia="zh-CN"/>
        </w:rPr>
        <w:t xml:space="preserve"> год</w:t>
      </w:r>
      <w:r>
        <w:rPr>
          <w:rFonts w:ascii="PT Astra Serif" w:hAnsi="PT Astra Serif"/>
          <w:sz w:val="28"/>
          <w:szCs w:val="28"/>
        </w:rPr>
        <w:t xml:space="preserve">;</w:t>
      </w:r>
    </w:p>
    <w:p>
      <w:pPr>
        <w:pStyle w:val="ClassyRed1LTGliederung1"/>
        <w:tabs>
          <w:tab w:val="left" w:pos="993"/>
        </w:tabs>
        <w:spacing w:after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— </w:t>
      </w:r>
      <w:r>
        <w:rPr>
          <w:rFonts w:ascii="PT Astra Serif" w:hAnsi="PT Astra Serif"/>
          <w:sz w:val="28"/>
          <w:szCs w:val="28"/>
        </w:rPr>
        <w:t xml:space="preserve">проведено обобщение и анализ правоприменительной практики осуществления регионального государственного контроля (надзора) за соблюдением законодательства об архивном деле на те</w:t>
      </w:r>
      <w:r>
        <w:rPr>
          <w:rFonts w:ascii="PT Astra Serif" w:hAnsi="PT Astra Serif"/>
          <w:sz w:val="28"/>
          <w:szCs w:val="28"/>
        </w:rPr>
        <w:t xml:space="preserve">рритории Томской области за 2023</w:t>
      </w:r>
      <w:r>
        <w:rPr>
          <w:rFonts w:ascii="PT Astra Serif" w:hAnsi="PT Astra Serif"/>
          <w:sz w:val="28"/>
          <w:szCs w:val="28"/>
        </w:rPr>
        <w:t xml:space="preserve"> год, на официальном сайте Департамента размещён доклад, содержащий результаты обобщения правоприменительной практики осуществления регионального государственного контроля (надзора) за соблюдением законодательства об архивном деле на те</w:t>
      </w:r>
      <w:r>
        <w:rPr>
          <w:rFonts w:ascii="PT Astra Serif" w:hAnsi="PT Astra Serif"/>
          <w:sz w:val="28"/>
          <w:szCs w:val="28"/>
        </w:rPr>
        <w:t xml:space="preserve">рритории Томской области за 2023</w:t>
      </w:r>
      <w:r>
        <w:rPr>
          <w:rFonts w:ascii="PT Astra Serif" w:hAnsi="PT Astra Serif"/>
          <w:sz w:val="28"/>
          <w:szCs w:val="28"/>
        </w:rPr>
        <w:t xml:space="preserve"> год;</w:t>
      </w:r>
    </w:p>
    <w:p>
      <w:pPr>
        <w:pStyle w:val="ClassyRed1LTGliederung1"/>
        <w:tabs>
          <w:tab w:val="left" w:pos="993"/>
        </w:tabs>
        <w:spacing w:after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— </w:t>
      </w:r>
      <w:r>
        <w:rPr>
          <w:rFonts w:ascii="PT Astra Serif" w:hAnsi="PT Astra Serif"/>
          <w:sz w:val="28"/>
          <w:szCs w:val="28"/>
        </w:rPr>
        <w:t xml:space="preserve">проведено три</w:t>
      </w:r>
      <w:r>
        <w:rPr>
          <w:rFonts w:ascii="PT Astra Serif" w:hAnsi="PT Astra Serif"/>
          <w:sz w:val="28"/>
          <w:szCs w:val="28"/>
        </w:rPr>
        <w:t xml:space="preserve"> обучающих семинара</w:t>
      </w:r>
      <w:r>
        <w:rPr>
          <w:rFonts w:ascii="PT Astra Serif" w:hAnsi="PT Astra Serif"/>
          <w:sz w:val="28"/>
          <w:szCs w:val="28"/>
        </w:rPr>
        <w:t xml:space="preserve">: два</w:t>
      </w:r>
      <w:r>
        <w:rPr>
          <w:rFonts w:ascii="PT Astra Serif" w:hAnsi="PT Astra Serif"/>
          <w:sz w:val="28"/>
          <w:szCs w:val="28"/>
        </w:rPr>
        <w:t xml:space="preserve"> для специалистов, ответственных за ведение делопроизводства, учет, хранение, комплектование и использование архивных документов в организациях в </w:t>
      </w:r>
      <w:r>
        <w:rPr>
          <w:rFonts w:ascii="PT Astra Serif" w:hAnsi="PT Astra Serif"/>
          <w:sz w:val="28"/>
          <w:szCs w:val="28"/>
        </w:rPr>
        <w:t xml:space="preserve">Кожевниковском районе и г. Томске, </w:t>
      </w:r>
      <w:r>
        <w:rPr>
          <w:rFonts w:ascii="PT Astra Serif" w:hAnsi="PT Astra Serif"/>
          <w:sz w:val="28"/>
          <w:szCs w:val="28"/>
        </w:rPr>
        <w:t xml:space="preserve">один - </w:t>
      </w:r>
      <w:r>
        <w:rPr>
          <w:rFonts w:ascii="PT Astra Serif" w:hAnsi="PT Astra Serif"/>
          <w:sz w:val="28"/>
          <w:szCs w:val="28"/>
        </w:rPr>
        <w:t xml:space="preserve">для работников муниципальных архивов</w:t>
      </w:r>
      <w:r>
        <w:rPr>
          <w:rFonts w:ascii="PT Astra Serif" w:hAnsi="PT Astra Serif"/>
          <w:sz w:val="28"/>
          <w:szCs w:val="28"/>
        </w:rPr>
        <w:t xml:space="preserve">;</w:t>
      </w:r>
    </w:p>
    <w:p>
      <w:pPr>
        <w:pStyle w:val="ClassyRed1LTGliederung1"/>
        <w:tabs>
          <w:tab w:val="left" w:pos="993"/>
        </w:tabs>
        <w:spacing w:after="0"/>
        <w:ind w:firstLine="709"/>
        <w:jc w:val="both"/>
      </w:pPr>
      <w:r>
        <w:rPr>
          <w:rFonts w:ascii="OpenSymbol" w:hAnsi="OpenSymbol" w:eastAsia="OpenSymbol" w:cs="OpenSymbol"/>
          <w:sz w:val="28"/>
          <w:szCs w:val="28"/>
        </w:rPr>
        <w:t xml:space="preserve">—</w:t>
      </w:r>
      <w:r>
        <w:rPr>
          <w:rFonts w:ascii="PT Astra Serif" w:hAnsi="PT Astra Serif"/>
          <w:sz w:val="28"/>
          <w:szCs w:val="28"/>
        </w:rPr>
        <w:t xml:space="preserve"> проведено два профилактических визита</w:t>
      </w:r>
      <w:r>
        <w:rPr>
          <w:rFonts w:ascii="PT Astra Serif" w:hAnsi="PT Astra Serif"/>
          <w:sz w:val="28"/>
          <w:szCs w:val="28"/>
        </w:rPr>
        <w:t xml:space="preserve"> в организации, </w:t>
      </w:r>
      <w:r>
        <w:rPr>
          <w:rFonts w:ascii="PT Astra Serif" w:hAnsi="PT Astra Serif"/>
          <w:sz w:val="28"/>
          <w:szCs w:val="28"/>
        </w:rPr>
        <w:t xml:space="preserve">один - </w:t>
      </w:r>
      <w:r>
        <w:rPr>
          <w:rFonts w:ascii="PT Astra Serif" w:hAnsi="PT Astra Serif"/>
          <w:sz w:val="28"/>
          <w:szCs w:val="28"/>
        </w:rPr>
        <w:t xml:space="preserve">в связи </w:t>
      </w:r>
      <w:r>
        <w:rPr>
          <w:rFonts w:ascii="PT Astra Serif" w:hAnsi="PT Astra Serif" w:eastAsia="Times New Roman" w:cs="Times New Roman"/>
          <w:sz w:val="28"/>
          <w:szCs w:val="28"/>
        </w:rPr>
        <w:t xml:space="preserve">с отнесением к категории значительного риска</w:t>
      </w:r>
      <w:r>
        <w:rPr>
          <w:rFonts w:ascii="PT Astra Serif" w:hAnsi="PT Astra Serif" w:eastAsia="Times New Roman" w:cs="Times New Roman"/>
          <w:sz w:val="28"/>
          <w:szCs w:val="28"/>
        </w:rPr>
        <w:t xml:space="preserve">, один -</w:t>
      </w:r>
      <w:r>
        <w:rPr>
          <w:rFonts w:ascii="PT Astra Serif" w:hAnsi="PT Astra Serif" w:eastAsia="Times New Roman" w:cs="Times New Roman"/>
          <w:sz w:val="28"/>
          <w:szCs w:val="28"/>
        </w:rPr>
        <w:t xml:space="preserve"> по инициативе контролируемого лица;</w:t>
      </w:r>
    </w:p>
    <w:p>
      <w:pPr>
        <w:pStyle w:val="ClassyRed1LTGliederung1"/>
        <w:tabs>
          <w:tab w:val="left" w:pos="993"/>
        </w:tabs>
        <w:spacing w:after="0"/>
        <w:ind w:firstLine="709"/>
        <w:jc w:val="both"/>
      </w:pPr>
      <w:r>
        <w:rPr>
          <w:rFonts w:ascii="OpenSymbol" w:hAnsi="OpenSymbol" w:eastAsia="OpenSymbol" w:cs="OpenSymbol"/>
          <w:sz w:val="28"/>
          <w:szCs w:val="28"/>
        </w:rPr>
        <w:t xml:space="preserve">—</w:t>
      </w:r>
      <w:r>
        <w:rPr>
          <w:rFonts w:ascii="PT Astra Serif" w:hAnsi="PT Astra Serif" w:eastAsia="Times New Roman" w:cs="Times New Roman"/>
          <w:sz w:val="28"/>
          <w:szCs w:val="28"/>
        </w:rPr>
        <w:t xml:space="preserve"> направлено 1 предостережение</w:t>
      </w:r>
      <w:r>
        <w:rPr>
          <w:rFonts w:ascii="PT Astra Serif" w:hAnsi="PT Astra Serif" w:eastAsia="Times New Roman" w:cs="Times New Roman"/>
          <w:sz w:val="28"/>
          <w:szCs w:val="28"/>
        </w:rPr>
        <w:t xml:space="preserve"> о недопустимости нарушения обязательных требований</w:t>
      </w:r>
      <w:r>
        <w:rPr>
          <w:rFonts w:ascii="PT Astra Serif" w:hAnsi="PT Astra Serif" w:eastAsia="Times New Roman" w:cs="Times New Roman"/>
          <w:sz w:val="28"/>
          <w:szCs w:val="28"/>
        </w:rPr>
        <w:t xml:space="preserve">.</w:t>
      </w:r>
    </w:p>
    <w:p>
      <w:pPr>
        <w:pStyle w:val="af1"/>
        <w:tabs>
          <w:tab w:val="left" w:pos="993"/>
          <w:tab w:val="left" w:pos="6379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 В настоящее время в деятельности </w:t>
      </w:r>
      <w:r>
        <w:rPr>
          <w:rFonts w:ascii="PT Astra Serif" w:hAnsi="PT Astra Serif"/>
          <w:sz w:val="28"/>
          <w:szCs w:val="28"/>
          <w:lang w:eastAsia="zh-CN" w:bidi="ar-SA"/>
        </w:rPr>
        <w:t xml:space="preserve">Департамента</w:t>
      </w:r>
      <w:r>
        <w:rPr>
          <w:rFonts w:ascii="PT Astra Serif" w:hAnsi="PT Astra Serif"/>
          <w:sz w:val="28"/>
          <w:szCs w:val="28"/>
        </w:rPr>
        <w:t xml:space="preserve"> приоритетным становится осуществление профилактических мероприятий. Наибольший </w:t>
      </w:r>
      <w:r>
        <w:rPr>
          <w:rFonts w:ascii="PT Astra Serif" w:hAnsi="PT Astra Serif"/>
          <w:sz w:val="28"/>
          <w:szCs w:val="28"/>
        </w:rPr>
        <w:t xml:space="preserve">эффект среди них показывают осуществление консультировани</w:t>
      </w:r>
      <w:r>
        <w:rPr>
          <w:rFonts w:ascii="PT Astra Serif" w:hAnsi="PT Astra Serif"/>
          <w:sz w:val="28"/>
          <w:szCs w:val="28"/>
          <w:lang w:eastAsia="zh-CN" w:bidi="ar-SA"/>
        </w:rPr>
        <w:t xml:space="preserve">я</w:t>
      </w:r>
      <w:r>
        <w:rPr>
          <w:rFonts w:ascii="PT Astra Serif" w:hAnsi="PT Astra Serif"/>
          <w:sz w:val="28"/>
          <w:szCs w:val="28"/>
        </w:rPr>
        <w:t xml:space="preserve">, проведение профилактических визитов,  объявление предостережение о недопустимости нарушения обязательных требований. Указанные мероприятия могут осуществляться как по инициативе контрольных (надзорных) органов, так и в связи с поступлением сведений о возможных нарушениях обязательных требований или по инициативе самих контролируемых лиц.</w:t>
      </w:r>
    </w:p>
    <w:p>
      <w:pPr>
        <w:pStyle w:val="af1"/>
        <w:tabs>
          <w:tab w:val="left" w:pos="993"/>
          <w:tab w:val="left" w:pos="6379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Консультирование контролируемых лиц и их представителей осуществляется должностным лицом Департамента в соответствии со статьей 50 Федерального закона </w:t>
      </w:r>
      <w:r>
        <w:rPr>
          <w:rFonts w:ascii="PT Astra Serif" w:hAnsi="PT Astra Serif"/>
          <w:sz w:val="28"/>
          <w:szCs w:val="28"/>
          <w:lang w:eastAsia="zh-CN" w:bidi="ar-SA"/>
        </w:rPr>
        <w:t xml:space="preserve">№</w:t>
      </w:r>
      <w:r>
        <w:rPr>
          <w:rFonts w:ascii="PT Astra Serif" w:hAnsi="PT Astra Serif"/>
          <w:sz w:val="28"/>
          <w:szCs w:val="28"/>
        </w:rPr>
        <w:t xml:space="preserve"> 248-ФЗ в письменной форме при их письменном обращении, в устной форме по телефону, на личном приеме у должностного лица Департамента или в ходе осуществления контрольного (надзорного) мероприятия, профилактического визита.</w:t>
      </w:r>
    </w:p>
    <w:p>
      <w:pPr>
        <w:pStyle w:val="af1"/>
        <w:tabs>
          <w:tab w:val="left" w:pos="993"/>
          <w:tab w:val="left" w:pos="6379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Департаментом осуществляется консультирование, в том числе письменное, по следующим вопросам:</w:t>
      </w:r>
    </w:p>
    <w:p>
      <w:pPr>
        <w:pStyle w:val="af1"/>
        <w:tabs>
          <w:tab w:val="left" w:pos="993"/>
          <w:tab w:val="left" w:pos="6379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1) профилактика рисков нарушения обязательных требований;</w:t>
      </w:r>
    </w:p>
    <w:p>
      <w:pPr>
        <w:pStyle w:val="af1"/>
        <w:tabs>
          <w:tab w:val="left" w:pos="993"/>
          <w:tab w:val="left" w:pos="6379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2) порядок осуществления контроля;</w:t>
      </w:r>
    </w:p>
    <w:p>
      <w:pPr>
        <w:pStyle w:val="af1"/>
        <w:tabs>
          <w:tab w:val="left" w:pos="993"/>
          <w:tab w:val="left" w:pos="6379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3) порядок обжалования решений Департамента;</w:t>
      </w:r>
    </w:p>
    <w:p>
      <w:pPr>
        <w:pStyle w:val="af1"/>
        <w:tabs>
          <w:tab w:val="left" w:pos="993"/>
          <w:tab w:val="left" w:pos="6379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4) иные вопросы, касающиеся осуществления контроля.</w:t>
      </w:r>
    </w:p>
    <w:p>
      <w:pPr>
        <w:pStyle w:val="af1"/>
        <w:tabs>
          <w:tab w:val="left" w:pos="993"/>
          <w:tab w:val="left" w:pos="6379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По итогам консультирования информация в письменной форме контролируемым лицам не предоставляется, за исключением случаев консультирования на основании обращений контролируемых лиц, поступивших в письменной форме в порядке и сроки, установленные федеральным законом от 2 мая 2006 года № 59-фз «О порядке рассмотрения обращений граждан Российской Федерации».</w:t>
      </w:r>
    </w:p>
    <w:p>
      <w:pPr>
        <w:pStyle w:val="af1"/>
        <w:tabs>
          <w:tab w:val="left" w:pos="993"/>
          <w:tab w:val="left" w:pos="6379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При наличии двух и более обращений в течение трех месяцев по одним и тем же вопросам от разных контролируемых лиц или их представителей консультирование по однотипным обращениям осуществляется посредством размещения на официальном сайте Департамента в сети «Интернет» письменного разъяснения, подписанного начальником Департамента, без указания в таком разъяснении сведений, отнесенных к категории ограниченного доступа.</w:t>
      </w:r>
    </w:p>
    <w:p>
      <w:pPr>
        <w:pStyle w:val="af1"/>
        <w:tabs>
          <w:tab w:val="left" w:pos="993"/>
          <w:tab w:val="left" w:pos="6379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В целях получения сведений о действующих обязательных требованиях в сфере архивного дела и соответствии им осуществляемой юридическим лицом деятельности, контролируемое лицо может обратиться в Департамент с просьбой о проведении профилактического визита, который может </w:t>
      </w:r>
      <w:r>
        <w:rPr>
          <w:rFonts w:ascii="PT Astra Serif" w:hAnsi="PT Astra Serif"/>
          <w:sz w:val="28"/>
          <w:szCs w:val="28"/>
        </w:rPr>
        <w:t xml:space="preserve">проводится</w:t>
      </w:r>
      <w:r>
        <w:rPr>
          <w:rFonts w:ascii="PT Astra Serif" w:hAnsi="PT Astra Serif"/>
          <w:sz w:val="28"/>
          <w:szCs w:val="28"/>
        </w:rPr>
        <w:t xml:space="preserve"> как по месту осуществления деятельности контролируемого лица, так и онлайн. В ходе него специалистами Департамента будут предоставлены исчерпывающие сведения о действующих обязательных требованиях в сфере архивного дела</w:t>
      </w:r>
      <w:r>
        <w:rPr>
          <w:rFonts w:ascii="PT Astra Serif" w:hAnsi="PT Astra Serif"/>
          <w:sz w:val="28"/>
          <w:szCs w:val="28"/>
        </w:rPr>
        <w:t xml:space="preserve">,</w:t>
      </w:r>
      <w:r>
        <w:rPr>
          <w:rFonts w:ascii="PT Astra Serif" w:hAnsi="PT Astra Serif"/>
          <w:sz w:val="28"/>
          <w:szCs w:val="28"/>
        </w:rPr>
        <w:t xml:space="preserve"> а также даны рекомендации о том, как привести деятельность юридического лица в соответствие с ними. По результатам профилактического визита представление об устранении нарушений обязательных требований не выдается. Протокол об административном правонарушении также не составляется.</w:t>
      </w:r>
    </w:p>
    <w:p>
      <w:pPr>
        <w:pStyle w:val="af1"/>
        <w:tabs>
          <w:tab w:val="left" w:pos="993"/>
          <w:tab w:val="left" w:pos="6379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Предостережение о недопустимости нарушения обязательных требований может быть направлено контролируемому лицу при наличии у Департамента сведений о готовящихся нарушениях обязательных требований или признаках нарушений обязательных требований. </w:t>
      </w:r>
    </w:p>
    <w:p>
      <w:pPr>
        <w:pStyle w:val="af1"/>
        <w:tabs>
          <w:tab w:val="left" w:pos="993"/>
          <w:tab w:val="left" w:pos="6379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Указанные меры ведут к росту уровня знаний о требованиях, предъявляемых нормативными правовыми актами в сфере архивного дела, что, в свою очередь, приводит к снижению количества выявляемых нарушений.</w:t>
      </w:r>
    </w:p>
    <w:p>
      <w:pPr>
        <w:pStyle w:val="af1"/>
        <w:tabs>
          <w:tab w:val="left" w:pos="993"/>
          <w:tab w:val="left" w:pos="6379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</w:p>
    <w:p>
      <w:pPr>
        <w:pStyle w:val="af1"/>
        <w:tabs>
          <w:tab w:val="left" w:pos="993"/>
          <w:tab w:val="left" w:pos="6379"/>
        </w:tabs>
        <w:ind w:left="0" w:firstLine="709"/>
        <w:jc w:val="center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Цели и задачи </w:t>
      </w:r>
      <w:hyperlink r:id="rId23">
        <w:r>
          <w:rPr>
            <w:rFonts w:ascii="PT Astra Serif" w:hAnsi="PT Astra Serif"/>
            <w:sz w:val="28"/>
            <w:szCs w:val="28"/>
            <w:lang w:eastAsia="zh-CN" w:bidi="ar-SA"/>
          </w:rPr>
          <w:t xml:space="preserve">р</w:t>
        </w:r>
      </w:hyperlink>
      <w:r>
        <w:rPr>
          <w:rFonts w:ascii="PT Astra Serif" w:hAnsi="PT Astra Serif"/>
          <w:sz w:val="28"/>
          <w:szCs w:val="28"/>
          <w:lang w:eastAsia="zh-CN" w:bidi="ar-SA"/>
        </w:rPr>
        <w:t xml:space="preserve">еализации Программы</w:t>
      </w:r>
    </w:p>
    <w:p>
      <w:pPr>
        <w:pStyle w:val="af1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 xml:space="preserve">Целями </w:t>
      </w:r>
      <w:r>
        <w:rPr>
          <w:rFonts w:ascii="PT Astra Serif" w:hAnsi="PT Astra Serif" w:cs="Times New Roman"/>
          <w:sz w:val="28"/>
          <w:szCs w:val="28"/>
          <w:lang w:eastAsia="zh-CN"/>
        </w:rPr>
        <w:t xml:space="preserve">реализации Программы</w:t>
      </w:r>
      <w:r>
        <w:rPr>
          <w:rFonts w:ascii="PT Astra Serif" w:hAnsi="PT Astra Serif" w:cs="Times New Roman"/>
          <w:sz w:val="28"/>
          <w:szCs w:val="28"/>
        </w:rPr>
        <w:t xml:space="preserve"> являются:</w:t>
      </w:r>
    </w:p>
    <w:p>
      <w:pPr>
        <w:pStyle w:val="ConsPlusNormal"/>
        <w:ind w:firstLine="709"/>
        <w:jc w:val="both"/>
        <w:rPr>
          <w:rFonts w:ascii="PT Astra Serif" w:hAnsi="PT Astra Serif"/>
        </w:rPr>
      </w:pPr>
      <w:hyperlink r:id="rId24">
        <w:r>
          <w:rPr>
            <w:rFonts w:ascii="PT Astra Serif" w:hAnsi="PT Astra Serif" w:cs="Times New Roman"/>
            <w:sz w:val="28"/>
            <w:szCs w:val="28"/>
          </w:rPr>
          <w:t xml:space="preserve">1) предупреждение нарушений обязательных требований;</w:t>
        </w:r>
      </w:hyperlink>
    </w:p>
    <w:p>
      <w:pPr>
        <w:pStyle w:val="ConsPlusNormal"/>
        <w:ind w:firstLine="709"/>
        <w:jc w:val="both"/>
        <w:rPr>
          <w:rFonts w:ascii="PT Astra Serif" w:hAnsi="PT Astra Serif"/>
        </w:rPr>
      </w:pPr>
      <w:hyperlink r:id="rId25">
        <w:r>
          <w:rPr>
            <w:rFonts w:ascii="PT Astra Serif" w:hAnsi="PT Astra Serif" w:cs="Times New Roman"/>
            <w:sz w:val="28"/>
            <w:szCs w:val="28"/>
          </w:rPr>
          <w:t xml:space="preserve">2) устранение причин, факторов и условий, способствующих возможному нарушению обязательных требований;</w:t>
        </w:r>
      </w:hyperlink>
    </w:p>
    <w:p>
      <w:pPr>
        <w:pStyle w:val="ConsPlusNormal"/>
        <w:ind w:firstLine="709"/>
        <w:jc w:val="both"/>
        <w:rPr>
          <w:rFonts w:ascii="PT Astra Serif" w:hAnsi="PT Astra Serif"/>
        </w:rPr>
      </w:pPr>
      <w:hyperlink r:id="rId26">
        <w:r>
          <w:rPr>
            <w:rFonts w:ascii="PT Astra Serif" w:hAnsi="PT Astra Serif" w:cs="Times New Roman"/>
            <w:sz w:val="28"/>
            <w:szCs w:val="28"/>
          </w:rPr>
          <w:t xml:space="preserve">3) повышение прозрачности системы </w:t>
        </w:r>
        <w:r>
          <w:rPr>
            <w:rFonts w:ascii="PT Astra Serif" w:hAnsi="PT Astra Serif" w:cs="Times New Roman"/>
            <w:sz w:val="28"/>
            <w:szCs w:val="28"/>
          </w:rPr>
          <w:t xml:space="preserve">контроля за</w:t>
        </w:r>
        <w:r>
          <w:rPr>
            <w:rFonts w:ascii="PT Astra Serif" w:hAnsi="PT Astra Serif" w:cs="Times New Roman"/>
            <w:sz w:val="28"/>
            <w:szCs w:val="28"/>
          </w:rPr>
          <w:t xml:space="preserve"> соблюдением законодательства об архивном деле;</w:t>
        </w:r>
      </w:hyperlink>
    </w:p>
    <w:p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 xml:space="preserve">4) снижение </w:t>
      </w:r>
      <w:r>
        <w:rPr>
          <w:rFonts w:ascii="PT Astra Serif" w:hAnsi="PT Astra Serif" w:cs="Times New Roman"/>
          <w:sz w:val="28"/>
          <w:szCs w:val="28"/>
        </w:rPr>
        <w:t xml:space="preserve">издержек</w:t>
      </w:r>
      <w:r>
        <w:rPr>
          <w:rFonts w:ascii="PT Astra Serif" w:hAnsi="PT Astra Serif" w:cs="Times New Roman"/>
          <w:sz w:val="28"/>
          <w:szCs w:val="28"/>
        </w:rPr>
        <w:t xml:space="preserve"> как Департамента, так и </w:t>
      </w:r>
      <w:r>
        <w:rPr>
          <w:rFonts w:ascii="PT Astra Serif" w:hAnsi="PT Astra Serif" w:cs="Times New Roman"/>
          <w:sz w:val="28"/>
          <w:szCs w:val="28"/>
          <w:lang w:eastAsia="zh-CN"/>
        </w:rPr>
        <w:t xml:space="preserve">контролируемых лиц</w:t>
      </w:r>
      <w:r>
        <w:rPr>
          <w:rFonts w:ascii="PT Astra Serif" w:hAnsi="PT Astra Serif" w:cs="Times New Roman"/>
          <w:sz w:val="28"/>
          <w:szCs w:val="28"/>
        </w:rPr>
        <w:t xml:space="preserve"> при осуществлении контроля за соблюдением законодательства об архивном деле;</w:t>
      </w:r>
    </w:p>
    <w:p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 xml:space="preserve">5) снижение административной нагрузки на </w:t>
      </w:r>
      <w:r>
        <w:rPr>
          <w:rFonts w:ascii="PT Astra Serif" w:hAnsi="PT Astra Serif" w:cs="Times New Roman"/>
          <w:sz w:val="28"/>
          <w:szCs w:val="28"/>
          <w:lang w:eastAsia="zh-CN"/>
        </w:rPr>
        <w:t xml:space="preserve">контролируемых лиц</w:t>
      </w:r>
      <w:r>
        <w:rPr>
          <w:rFonts w:ascii="PT Astra Serif" w:hAnsi="PT Astra Serif" w:cs="Times New Roman"/>
          <w:sz w:val="28"/>
          <w:szCs w:val="28"/>
        </w:rPr>
        <w:t xml:space="preserve">;</w:t>
      </w:r>
    </w:p>
    <w:p>
      <w:pPr>
        <w:pStyle w:val="ConsPlusNormal"/>
        <w:ind w:firstLine="709"/>
        <w:jc w:val="both"/>
        <w:rPr>
          <w:rFonts w:ascii="PT Astra Serif" w:hAnsi="PT Astra Serif"/>
        </w:rPr>
      </w:pPr>
      <w:hyperlink r:id="rId27">
        <w:r>
          <w:rPr>
            <w:rFonts w:ascii="PT Astra Serif" w:hAnsi="PT Astra Serif" w:cs="Times New Roman"/>
            <w:sz w:val="28"/>
            <w:szCs w:val="28"/>
          </w:rPr>
          <w:t xml:space="preserve">6) создание мотивации к добросовестному поведению и, как следствие, снижение уровня ущерба охраняемым законом ценностям.</w:t>
        </w:r>
      </w:hyperlink>
    </w:p>
    <w:p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 xml:space="preserve">Задачами </w:t>
      </w:r>
      <w:r>
        <w:rPr>
          <w:rFonts w:ascii="PT Astra Serif" w:hAnsi="PT Astra Serif" w:cs="Times New Roman"/>
          <w:sz w:val="28"/>
          <w:szCs w:val="28"/>
          <w:lang w:eastAsia="zh-CN"/>
        </w:rPr>
        <w:t xml:space="preserve">реализации Программы</w:t>
      </w:r>
      <w:r>
        <w:rPr>
          <w:rFonts w:ascii="PT Astra Serif" w:hAnsi="PT Astra Serif" w:cs="Times New Roman"/>
          <w:sz w:val="28"/>
          <w:szCs w:val="28"/>
        </w:rPr>
        <w:t xml:space="preserve"> являются:</w:t>
      </w:r>
    </w:p>
    <w:p>
      <w:pPr>
        <w:pStyle w:val="ConsPlusNormal"/>
        <w:ind w:firstLine="709"/>
        <w:jc w:val="both"/>
        <w:rPr>
          <w:rFonts w:ascii="PT Astra Serif" w:hAnsi="PT Astra Serif"/>
        </w:rPr>
      </w:pPr>
      <w:hyperlink r:id="rId28">
        <w:r>
          <w:rPr>
            <w:rFonts w:ascii="PT Astra Serif" w:hAnsi="PT Astra Serif" w:cs="Times New Roman"/>
            <w:sz w:val="28"/>
            <w:szCs w:val="28"/>
          </w:rPr>
          <w:t xml:space="preserve">1) формирование единообразного понимания обязательных требований у всех участников осуществляемой Департаментом контрольной (надзорной) деятельности;</w:t>
        </w:r>
      </w:hyperlink>
    </w:p>
    <w:p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 xml:space="preserve">2) выявление причин, факторов и условий, способствующих нарушению обязательных требований </w:t>
      </w:r>
      <w:r>
        <w:rPr>
          <w:rFonts w:ascii="PT Astra Serif" w:hAnsi="PT Astra Serif" w:cs="Times New Roman"/>
          <w:sz w:val="28"/>
          <w:szCs w:val="28"/>
          <w:lang w:eastAsia="zh-CN"/>
        </w:rPr>
        <w:t xml:space="preserve">контролируемыми лицами</w:t>
      </w:r>
      <w:r>
        <w:rPr>
          <w:rFonts w:ascii="PT Astra Serif" w:hAnsi="PT Astra Serif" w:cs="Times New Roman"/>
          <w:sz w:val="28"/>
          <w:szCs w:val="28"/>
        </w:rPr>
        <w:t xml:space="preserve">, определение способов их устранения или снижения рисков возникновения;</w:t>
      </w:r>
    </w:p>
    <w:p>
      <w:pPr>
        <w:pStyle w:val="ConsPlusNormal"/>
        <w:ind w:firstLine="709"/>
        <w:jc w:val="both"/>
        <w:rPr>
          <w:rFonts w:ascii="PT Astra Serif" w:hAnsi="PT Astra Serif"/>
        </w:rPr>
        <w:sectPr>
          <w:headerReference w:type="default" r:id="rId9"/>
          <w:headerReference w:type="first" r:id="rId10"/>
          <w:footerReference w:type="default" r:id="rId14"/>
          <w:footerReference w:type="first" r:id="rId15"/>
          <w:pgSz w:w="11906" w:h="16838"/>
          <w:pgMar w:top="1134" w:right="851" w:bottom="1134" w:left="1418" w:header="737" w:footer="284" w:gutter="0"/>
          <w:pgNumType w:start="1"/>
          <w:cols w:space="708"/>
          <w:docGrid w:linePitch="360"/>
          <w:titlePg/>
        </w:sectPr>
      </w:pPr>
      <w:hyperlink r:id="rId29">
        <w:r>
          <w:rPr>
            <w:rFonts w:ascii="PT Astra Serif" w:hAnsi="PT Astra Serif" w:cs="Times New Roman"/>
            <w:sz w:val="28"/>
            <w:szCs w:val="28"/>
          </w:rPr>
          <w:t xml:space="preserve">3) выявление типичных нарушений обязательных требований и подготовка предложений по их профилактике.</w:t>
        </w:r>
      </w:hyperlink>
    </w:p>
    <w:p>
      <w:pPr>
        <w:jc w:val="center"/>
        <w:rPr>
          <w:rFonts w:ascii="PT Astra Serif" w:hAnsi="PT Astra Serif"/>
          <w:sz w:val="28"/>
          <w:szCs w:val="28"/>
        </w:rPr>
      </w:pPr>
      <w:hyperlink r:id="rId30">
        <w:r>
          <w:rPr>
            <w:rFonts w:ascii="PT Astra Serif" w:hAnsi="PT Astra Serif"/>
            <w:sz w:val="28"/>
            <w:szCs w:val="28"/>
            <w:lang w:eastAsia="zh-CN" w:bidi="ar-SA"/>
          </w:rPr>
          <w:t xml:space="preserve">П</w:t>
        </w:r>
      </w:hyperlink>
      <w:r>
        <w:rPr>
          <w:rFonts w:ascii="PT Astra Serif" w:hAnsi="PT Astra Serif"/>
          <w:sz w:val="28"/>
          <w:szCs w:val="28"/>
          <w:lang w:eastAsia="zh-CN" w:bidi="ar-SA"/>
        </w:rPr>
        <w:t xml:space="preserve">еречень профилактических мероприятий, сроки (периодичность) их проведения</w:t>
      </w:r>
    </w:p>
    <w:p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14992" w:type="dxa"/>
        <w:tblLook w:val="04A0" w:firstRow="1" w:lastRow="0" w:firstColumn="1" w:lastColumn="0" w:noHBand="0" w:noVBand="1"/>
      </w:tblPr>
      <w:tblGrid>
        <w:gridCol w:w="644"/>
        <w:gridCol w:w="11715"/>
        <w:gridCol w:w="2633"/>
      </w:tblGrid>
      <w:tr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№</w:t>
            </w:r>
          </w:p>
          <w:p>
            <w:pPr>
              <w:jc w:val="center"/>
              <w:rPr>
                <w:rFonts w:ascii="PT Astra Serif" w:hAnsi="PT Astra Serif"/>
              </w:rPr>
            </w:pPr>
            <w:hyperlink r:id="rId31">
              <w:r>
                <w:rPr>
                  <w:rFonts w:ascii="PT Astra Serif" w:hAnsi="PT Astra Serif"/>
                  <w:sz w:val="28"/>
                  <w:szCs w:val="28"/>
                </w:rPr>
                <w:t xml:space="preserve">п</w:t>
              </w:r>
              <w:r>
                <w:rPr>
                  <w:rFonts w:ascii="PT Astra Serif" w:hAnsi="PT Astra Serif"/>
                  <w:sz w:val="28"/>
                  <w:szCs w:val="28"/>
                </w:rPr>
                <w:t xml:space="preserve">/</w:t>
              </w:r>
              <w:r>
                <w:rPr>
                  <w:rFonts w:ascii="PT Astra Serif" w:hAnsi="PT Astra Serif"/>
                  <w:sz w:val="28"/>
                  <w:szCs w:val="28"/>
                </w:rPr>
                <w:t xml:space="preserve">п</w:t>
              </w:r>
            </w:hyperlink>
          </w:p>
        </w:tc>
        <w:tc>
          <w:tcPr>
            <w:tcW w:w="11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</w:rPr>
            </w:pPr>
            <w:hyperlink r:id="rId32">
              <w:r>
                <w:rPr>
                  <w:rFonts w:ascii="PT Astra Serif" w:hAnsi="PT Astra Serif"/>
                  <w:sz w:val="28"/>
                  <w:szCs w:val="28"/>
                </w:rPr>
                <w:t xml:space="preserve">Наименование мероприятия</w:t>
              </w:r>
            </w:hyperlink>
          </w:p>
        </w:tc>
        <w:tc>
          <w:tcPr>
            <w:tcW w:w="2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</w:rPr>
            </w:pPr>
            <w:hyperlink r:id="rId33">
              <w:r>
                <w:rPr>
                  <w:rFonts w:ascii="PT Astra Serif" w:hAnsi="PT Astra Serif"/>
                  <w:sz w:val="28"/>
                  <w:szCs w:val="28"/>
                </w:rPr>
                <w:t xml:space="preserve">Срок исполнения</w:t>
              </w:r>
            </w:hyperlink>
          </w:p>
        </w:tc>
      </w:tr>
      <w:tr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  <w:rPr>
                <w:rFonts w:ascii="PT Astra Serif" w:hAnsi="PT Astra Serif"/>
              </w:rPr>
            </w:pPr>
            <w:hyperlink r:id="rId34">
              <w:r>
                <w:rPr>
                  <w:rFonts w:ascii="PT Astra Serif" w:hAnsi="PT Astra Serif"/>
                  <w:sz w:val="28"/>
                  <w:szCs w:val="28"/>
                </w:rPr>
                <w:t xml:space="preserve">1</w:t>
              </w:r>
            </w:hyperlink>
          </w:p>
        </w:tc>
        <w:tc>
          <w:tcPr>
            <w:tcW w:w="11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Размещение на официальном сайте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Департамента </w:t>
            </w:r>
            <w:r>
              <w:rPr>
                <w:rFonts w:ascii="PT Astra Serif" w:hAnsi="PT Astra Serif"/>
                <w:sz w:val="28"/>
                <w:szCs w:val="28"/>
                <w:lang w:eastAsia="zh-CN" w:bidi="ar-SA"/>
              </w:rPr>
              <w:t xml:space="preserve">программы профилактики рисков причинения</w:t>
            </w:r>
            <w:r>
              <w:rPr>
                <w:rFonts w:ascii="PT Astra Serif" w:hAnsi="PT Astra Serif"/>
                <w:sz w:val="28"/>
                <w:szCs w:val="28"/>
                <w:lang w:eastAsia="zh-CN" w:bidi="ar-SA"/>
              </w:rPr>
              <w:t xml:space="preserve"> вреда  (ущерба) охра</w:t>
            </w:r>
            <w:r>
              <w:rPr>
                <w:rFonts w:ascii="PT Astra Serif" w:hAnsi="PT Astra Serif"/>
                <w:sz w:val="28"/>
                <w:szCs w:val="28"/>
                <w:lang w:eastAsia="zh-CN" w:bidi="ar-SA"/>
              </w:rPr>
              <w:t xml:space="preserve">няемым законом ценностям на 2025</w:t>
            </w:r>
            <w:r>
              <w:rPr>
                <w:rFonts w:ascii="PT Astra Serif" w:hAnsi="PT Astra Serif"/>
                <w:sz w:val="28"/>
                <w:szCs w:val="28"/>
                <w:lang w:eastAsia="zh-CN" w:bidi="ar-SA"/>
              </w:rPr>
              <w:t xml:space="preserve"> год</w:t>
            </w:r>
          </w:p>
        </w:tc>
        <w:tc>
          <w:tcPr>
            <w:tcW w:w="2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  <w:rPr>
                <w:rFonts w:ascii="PT Astra Serif" w:hAnsi="PT Astra Serif"/>
              </w:rPr>
            </w:pPr>
            <w:hyperlink r:id="rId35">
              <w:r>
                <w:rPr>
                  <w:rFonts w:ascii="PT Astra Serif" w:hAnsi="PT Astra Serif"/>
                  <w:sz w:val="28"/>
                  <w:szCs w:val="28"/>
                </w:rPr>
                <w:t xml:space="preserve">декабрь 20</w:t>
              </w:r>
              <w:r>
                <w:rPr>
                  <w:rFonts w:ascii="PT Astra Serif" w:hAnsi="PT Astra Serif"/>
                  <w:sz w:val="28"/>
                  <w:szCs w:val="28"/>
                  <w:lang w:eastAsia="ru-RU" w:bidi="ar-SA"/>
                </w:rPr>
                <w:t xml:space="preserve">24</w:t>
              </w:r>
              <w:r>
                <w:rPr>
                  <w:rFonts w:ascii="PT Astra Serif" w:hAnsi="PT Astra Serif"/>
                  <w:sz w:val="28"/>
                  <w:szCs w:val="28"/>
                </w:rPr>
                <w:t xml:space="preserve"> г. </w:t>
              </w:r>
            </w:hyperlink>
          </w:p>
        </w:tc>
      </w:tr>
      <w:tr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  <w:rPr>
                <w:rFonts w:ascii="PT Astra Serif" w:hAnsi="PT Astra Serif"/>
              </w:rPr>
            </w:pPr>
            <w:hyperlink r:id="rId36">
              <w:r>
                <w:rPr>
                  <w:rFonts w:ascii="PT Astra Serif" w:hAnsi="PT Astra Serif"/>
                  <w:sz w:val="28"/>
                  <w:szCs w:val="28"/>
                </w:rPr>
                <w:t xml:space="preserve">2</w:t>
              </w:r>
            </w:hyperlink>
          </w:p>
        </w:tc>
        <w:tc>
          <w:tcPr>
            <w:tcW w:w="11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rPr>
                <w:rFonts w:ascii="PT Astra Serif" w:hAnsi="PT Astra Serif"/>
              </w:rPr>
            </w:pPr>
            <w:hyperlink r:id="rId37">
              <w:r>
                <w:rPr>
                  <w:rFonts w:ascii="PT Astra Serif" w:hAnsi="PT Astra Serif"/>
                  <w:sz w:val="28"/>
                  <w:szCs w:val="28"/>
                </w:rPr>
                <w:t xml:space="preserve">Информирование подконтрольных субъектов по вопросам соблюдения обязательных требований в области архивного дела посредством проведения семинаров и совещаний</w:t>
              </w:r>
            </w:hyperlink>
          </w:p>
        </w:tc>
        <w:tc>
          <w:tcPr>
            <w:tcW w:w="2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</w:pPr>
            <w:r>
              <w:rPr>
                <w:rFonts w:ascii="PT Astra Serif" w:hAnsi="PT Astra Serif"/>
                <w:color w:val="000000"/>
                <w:sz w:val="28"/>
                <w:szCs w:val="28"/>
                <w:lang w:eastAsia="zh-CN" w:bidi="ar-SA"/>
              </w:rPr>
              <w:t xml:space="preserve">март</w:t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28"/>
                <w:szCs w:val="28"/>
                <w:lang w:eastAsia="zh-CN" w:bidi="ar-SA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  <w:lang w:eastAsia="zh-CN" w:bidi="ar-SA"/>
              </w:rPr>
              <w:t xml:space="preserve">сентябрь</w:t>
            </w:r>
          </w:p>
          <w:p>
            <w:pPr>
              <w:jc w:val="center"/>
            </w:pPr>
            <w:r>
              <w:rPr>
                <w:rFonts w:ascii="PT Astra Serif" w:hAnsi="PT Astra Serif"/>
                <w:color w:val="000000"/>
                <w:sz w:val="28"/>
                <w:szCs w:val="28"/>
                <w:lang w:eastAsia="zh-CN" w:bidi="ar-SA"/>
              </w:rPr>
              <w:t xml:space="preserve">ноябрь</w:t>
            </w:r>
          </w:p>
        </w:tc>
      </w:tr>
      <w:tr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  <w:rPr>
                <w:rFonts w:ascii="PT Astra Serif" w:hAnsi="PT Astra Serif"/>
              </w:rPr>
            </w:pPr>
            <w:hyperlink r:id="rId38">
              <w:r>
                <w:rPr>
                  <w:rFonts w:ascii="PT Astra Serif" w:hAnsi="PT Astra Serif"/>
                  <w:sz w:val="28"/>
                  <w:szCs w:val="28"/>
                </w:rPr>
                <w:t xml:space="preserve">3</w:t>
              </w:r>
            </w:hyperlink>
          </w:p>
        </w:tc>
        <w:tc>
          <w:tcPr>
            <w:tcW w:w="11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rPr>
                <w:rFonts w:ascii="PT Astra Serif" w:hAnsi="PT Astra Serif"/>
              </w:rPr>
            </w:pPr>
            <w:hyperlink r:id="rId39">
              <w:r>
                <w:rPr>
                  <w:rFonts w:ascii="PT Astra Serif" w:hAnsi="PT Astra Serif"/>
                  <w:sz w:val="28"/>
                  <w:szCs w:val="28"/>
                </w:rPr>
                <w:t xml:space="preserve">Проведение публичных обсуждений результатов правоприменительной практики Департамента</w:t>
              </w:r>
            </w:hyperlink>
          </w:p>
        </w:tc>
        <w:tc>
          <w:tcPr>
            <w:tcW w:w="2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  <w:rPr>
                <w:rFonts w:ascii="PT Astra Serif" w:hAnsi="PT Astra Serif"/>
              </w:rPr>
            </w:pPr>
            <w:hyperlink r:id="rId40">
              <w:r>
                <w:rPr>
                  <w:rFonts w:ascii="PT Astra Serif" w:hAnsi="PT Astra Serif"/>
                  <w:sz w:val="28"/>
                  <w:szCs w:val="28"/>
                </w:rPr>
                <w:t xml:space="preserve">ноябрь</w:t>
              </w:r>
            </w:hyperlink>
          </w:p>
        </w:tc>
      </w:tr>
      <w:tr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  <w:rPr>
                <w:rFonts w:ascii="PT Astra Serif" w:hAnsi="PT Astra Serif"/>
              </w:rPr>
            </w:pPr>
            <w:hyperlink r:id="rId41">
              <w:r>
                <w:rPr>
                  <w:rFonts w:ascii="PT Astra Serif" w:hAnsi="PT Astra Serif"/>
                  <w:sz w:val="28"/>
                  <w:szCs w:val="28"/>
                </w:rPr>
                <w:t xml:space="preserve">4</w:t>
              </w:r>
            </w:hyperlink>
          </w:p>
        </w:tc>
        <w:tc>
          <w:tcPr>
            <w:tcW w:w="11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rPr>
                <w:rFonts w:ascii="PT Astra Serif" w:hAnsi="PT Astra Serif"/>
              </w:rPr>
            </w:pPr>
            <w:hyperlink r:id="rId42">
              <w:r>
                <w:rPr>
                  <w:rFonts w:ascii="PT Astra Serif" w:hAnsi="PT Astra Serif"/>
                  <w:sz w:val="28"/>
                  <w:szCs w:val="28"/>
                </w:rPr>
                <w:t xml:space="preserve">Прием заинтересованных лиц в комитете по делам архивов Департамента по вопросам соблюдения обязательных требований в области архивного дела</w:t>
              </w:r>
            </w:hyperlink>
          </w:p>
        </w:tc>
        <w:tc>
          <w:tcPr>
            <w:tcW w:w="2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  <w:rPr>
                <w:rFonts w:ascii="PT Astra Serif" w:hAnsi="PT Astra Serif"/>
              </w:rPr>
            </w:pPr>
            <w:hyperlink r:id="rId43">
              <w:r>
                <w:rPr>
                  <w:rFonts w:ascii="PT Astra Serif" w:hAnsi="PT Astra Serif"/>
                  <w:sz w:val="28"/>
                  <w:szCs w:val="28"/>
                </w:rPr>
                <w:t xml:space="preserve">еженедельно по средам </w:t>
              </w:r>
            </w:hyperlink>
          </w:p>
          <w:p>
            <w:pPr>
              <w:jc w:val="center"/>
              <w:rPr>
                <w:rFonts w:ascii="PT Astra Serif" w:hAnsi="PT Astra Serif"/>
              </w:rPr>
            </w:pPr>
            <w:hyperlink r:id="rId44">
              <w:r>
                <w:rPr>
                  <w:rFonts w:ascii="PT Astra Serif" w:hAnsi="PT Astra Serif"/>
                  <w:sz w:val="28"/>
                  <w:szCs w:val="28"/>
                </w:rPr>
                <w:t xml:space="preserve">с 14:00 до 18:00</w:t>
              </w:r>
            </w:hyperlink>
          </w:p>
        </w:tc>
      </w:tr>
      <w:tr>
        <w:tc>
          <w:tcPr>
            <w:tcW w:w="64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  <w:rPr>
                <w:rFonts w:ascii="PT Astra Serif" w:hAnsi="PT Astra Serif"/>
              </w:rPr>
            </w:pPr>
            <w:hyperlink r:id="rId45">
              <w:r>
                <w:rPr>
                  <w:rFonts w:ascii="PT Astra Serif" w:hAnsi="PT Astra Serif"/>
                  <w:sz w:val="28"/>
                  <w:szCs w:val="28"/>
                </w:rPr>
                <w:t xml:space="preserve">5</w:t>
              </w:r>
            </w:hyperlink>
          </w:p>
        </w:tc>
        <w:tc>
          <w:tcPr>
            <w:tcW w:w="1171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rFonts w:ascii="PT Astra Serif" w:hAnsi="PT Astra Serif" w:eastAsia="Calibri" w:cs="PT Astra Serif"/>
                <w:bCs/>
                <w:color w:val="000000"/>
                <w:sz w:val="28"/>
                <w:szCs w:val="28"/>
                <w:lang w:bidi="ar-SA"/>
              </w:rPr>
              <w:t xml:space="preserve">К</w:t>
            </w:r>
            <w:r>
              <w:rPr>
                <w:rFonts w:ascii="PT Astra Serif" w:hAnsi="PT Astra Serif" w:eastAsia="Calibri" w:cs="PT Astra Serif"/>
                <w:sz w:val="28"/>
                <w:szCs w:val="28"/>
              </w:rPr>
              <w:t xml:space="preserve">онсультирование контролируемых лиц и их представителей по вопросам, касающимся осуществления контроля</w:t>
            </w:r>
          </w:p>
        </w:tc>
        <w:tc>
          <w:tcPr>
            <w:tcW w:w="2633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  <w:rPr>
                <w:rFonts w:ascii="PT Astra Serif" w:hAnsi="PT Astra Serif"/>
              </w:rPr>
            </w:pPr>
            <w:hyperlink r:id="rId46">
              <w:r>
                <w:rPr>
                  <w:rFonts w:ascii="PT Astra Serif" w:hAnsi="PT Astra Serif"/>
                  <w:sz w:val="28"/>
                  <w:szCs w:val="28"/>
                </w:rPr>
                <w:t xml:space="preserve">по мере необходимости</w:t>
              </w:r>
            </w:hyperlink>
          </w:p>
        </w:tc>
      </w:tr>
      <w:tr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  <w:rPr>
                <w:rFonts w:ascii="PT Astra Serif" w:hAnsi="PT Astra Serif"/>
              </w:rPr>
            </w:pPr>
            <w:hyperlink r:id="rId47">
              <w:r>
                <w:rPr>
                  <w:rFonts w:ascii="PT Astra Serif" w:hAnsi="PT Astra Serif"/>
                  <w:sz w:val="28"/>
                  <w:szCs w:val="28"/>
                </w:rPr>
                <w:t xml:space="preserve">6</w:t>
              </w:r>
            </w:hyperlink>
          </w:p>
        </w:tc>
        <w:tc>
          <w:tcPr>
            <w:tcW w:w="11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rPr>
                <w:rFonts w:ascii="PT Astra Serif" w:hAnsi="PT Astra Serif"/>
              </w:rPr>
            </w:pPr>
            <w:hyperlink r:id="rId48">
              <w:r>
                <w:rPr>
                  <w:rFonts w:ascii="PT Astra Serif" w:hAnsi="PT Astra Serif"/>
                  <w:sz w:val="28"/>
                  <w:szCs w:val="28"/>
                </w:rPr>
                <w:t xml:space="preserve">Подготовка и размещение на официальном сайте Департамента комментариев о содержании новых нормативных правовых актов, устанавливающих обязательные требования в области архивного дела, внесенных изменений в действующие акты, сроков и порядка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 в области архивного дела</w:t>
              </w:r>
            </w:hyperlink>
          </w:p>
        </w:tc>
        <w:tc>
          <w:tcPr>
            <w:tcW w:w="2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  <w:rPr>
                <w:rFonts w:ascii="PT Astra Serif" w:hAnsi="PT Astra Serif"/>
              </w:rPr>
            </w:pPr>
            <w:hyperlink r:id="rId49">
              <w:r>
                <w:rPr>
                  <w:rFonts w:ascii="PT Astra Serif" w:hAnsi="PT Astra Serif"/>
                  <w:sz w:val="28"/>
                  <w:szCs w:val="28"/>
                </w:rPr>
                <w:t xml:space="preserve">в течение 10 рабочих дней со дня опубликования нормативных правовых актов, содержащих изменения обязательных требований в области архивного дела</w:t>
              </w:r>
            </w:hyperlink>
          </w:p>
        </w:tc>
      </w:tr>
      <w:tr>
        <w:trPr>
          <w:cantSplit/>
        </w:trPr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  <w:rPr>
                <w:rFonts w:ascii="PT Astra Serif" w:hAnsi="PT Astra Serif"/>
              </w:rPr>
            </w:pPr>
            <w:hyperlink r:id="rId50">
              <w:r>
                <w:rPr>
                  <w:rFonts w:ascii="PT Astra Serif" w:hAnsi="PT Astra Serif"/>
                  <w:sz w:val="28"/>
                  <w:szCs w:val="28"/>
                </w:rPr>
                <w:t xml:space="preserve">7</w:t>
              </w:r>
            </w:hyperlink>
          </w:p>
        </w:tc>
        <w:tc>
          <w:tcPr>
            <w:tcW w:w="11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Подготовка и размещение на сайте обобщения практики осуществления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контроля за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соблюдением законодательства об архивном деле</w:t>
            </w:r>
          </w:p>
        </w:tc>
        <w:tc>
          <w:tcPr>
            <w:tcW w:w="2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  <w:rPr>
                <w:rFonts w:ascii="PT Astra Serif" w:hAnsi="PT Astra Serif"/>
              </w:rPr>
            </w:pPr>
            <w:hyperlink r:id="rId51">
              <w:r>
                <w:rPr>
                  <w:rFonts w:ascii="PT Astra Serif" w:hAnsi="PT Astra Serif"/>
                  <w:sz w:val="28"/>
                  <w:szCs w:val="28"/>
                </w:rPr>
                <w:t xml:space="preserve">январь</w:t>
              </w:r>
            </w:hyperlink>
          </w:p>
          <w:p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8</w:t>
            </w:r>
          </w:p>
        </w:tc>
        <w:tc>
          <w:tcPr>
            <w:tcW w:w="11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Размещение на официальном сайте Департамента ответов/разъяснений по часто задаваемым вопросам в области архивного дела и по </w:t>
            </w:r>
            <w:r>
              <w:rPr>
                <w:rFonts w:ascii="PT Astra Serif" w:hAnsi="PT Astra Serif" w:eastAsia="Calibri" w:cs="PT Astra Serif"/>
                <w:sz w:val="28"/>
                <w:szCs w:val="28"/>
              </w:rPr>
              <w:t xml:space="preserve">вопросам, касающимся осуществления контроля</w:t>
            </w:r>
          </w:p>
        </w:tc>
        <w:tc>
          <w:tcPr>
            <w:tcW w:w="2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  <w:rPr>
                <w:rFonts w:ascii="PT Astra Serif" w:hAnsi="PT Astra Serif"/>
              </w:rPr>
            </w:pPr>
            <w:hyperlink r:id="rId52">
              <w:r>
                <w:rPr>
                  <w:rFonts w:ascii="PT Astra Serif" w:hAnsi="PT Astra Serif"/>
                  <w:sz w:val="28"/>
                  <w:szCs w:val="28"/>
                </w:rPr>
                <w:t xml:space="preserve">по мере необходимости</w:t>
              </w:r>
            </w:hyperlink>
          </w:p>
        </w:tc>
      </w:tr>
      <w:tr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9</w:t>
            </w:r>
          </w:p>
        </w:tc>
        <w:tc>
          <w:tcPr>
            <w:tcW w:w="11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Вынесение юридическим лицам и индивидуальным предпринимателям предостережений о недопустимости нарушения обязательных требований в соответствии со статьей </w:t>
            </w:r>
            <w:r>
              <w:rPr>
                <w:rFonts w:ascii="PT Astra Serif" w:hAnsi="PT Astra Serif"/>
                <w:sz w:val="28"/>
                <w:szCs w:val="28"/>
                <w:lang w:eastAsia="zh-CN" w:bidi="ar-SA"/>
              </w:rPr>
              <w:t xml:space="preserve">49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Федерального закона от </w:t>
            </w:r>
            <w:r>
              <w:rPr>
                <w:rFonts w:ascii="PT Astra Serif" w:hAnsi="PT Astra Serif" w:cs="PT Astra Serif"/>
                <w:sz w:val="28"/>
                <w:szCs w:val="28"/>
                <w:lang w:eastAsia="zh-CN" w:bidi="ar-SA"/>
              </w:rPr>
              <w:t xml:space="preserve">31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  <w:rPr>
                <w:rFonts w:ascii="PT Astra Serif" w:hAnsi="PT Astra Serif"/>
              </w:rPr>
            </w:pPr>
            <w:hyperlink r:id="rId53">
              <w:r>
                <w:rPr>
                  <w:rFonts w:ascii="PT Astra Serif" w:hAnsi="PT Astra Serif"/>
                  <w:sz w:val="28"/>
                  <w:szCs w:val="28"/>
                </w:rPr>
                <w:t xml:space="preserve">незамедлительно, при наличии сведений о признаках нарушений обязательных требований</w:t>
              </w:r>
            </w:hyperlink>
          </w:p>
        </w:tc>
      </w:tr>
      <w:tr>
        <w:tc>
          <w:tcPr>
            <w:tcW w:w="64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10</w:t>
            </w:r>
          </w:p>
        </w:tc>
        <w:tc>
          <w:tcPr>
            <w:tcW w:w="1171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Осуществление профилактических визитов </w:t>
            </w:r>
          </w:p>
        </w:tc>
        <w:tc>
          <w:tcPr>
            <w:tcW w:w="2633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  <w:lang w:eastAsia="zh-CN" w:bidi="ar-SA"/>
              </w:rPr>
              <w:t xml:space="preserve">в соответствии с Планом проведения профилактических визитов (приложение №1 к Программе), по обращением контролируемых лиц</w:t>
            </w:r>
          </w:p>
        </w:tc>
      </w:tr>
    </w:tbl>
    <w:p>
      <w:pPr>
        <w:pStyle w:val="afd"/>
        <w:ind w:left="0"/>
        <w:rPr>
          <w:rFonts w:ascii="PT Astra Serif" w:hAnsi="PT Astra Serif"/>
        </w:rPr>
        <w:sectPr>
          <w:headerReference w:type="default" r:id="rId11"/>
          <w:headerReference w:type="first" r:id="rId12"/>
          <w:footerReference w:type="default" r:id="rId16"/>
          <w:footerReference w:type="first" r:id="rId17"/>
          <w:pgSz w:w="16838" w:h="11906" w:orient="landscape"/>
          <w:pgMar w:top="1418" w:right="1134" w:bottom="851" w:left="1134" w:header="1134" w:footer="0" w:gutter="0"/>
          <w:cols w:space="708"/>
          <w:docGrid w:linePitch="360"/>
          <w:titlePg/>
        </w:sectPr>
      </w:pPr>
      <w:hyperlink r:id="rId54">
        <w:r>
          <w:rPr>
            <w:rFonts w:ascii="PT Astra Serif" w:hAnsi="PT Astra Serif"/>
            <w:sz w:val="28"/>
            <w:szCs w:val="28"/>
          </w:rPr>
          <w:br/>
        </w:r>
      </w:hyperlink>
    </w:p>
    <w:p>
      <w:pPr>
        <w:jc w:val="center"/>
        <w:rPr>
          <w:rFonts w:ascii="PT Astra Serif" w:hAnsi="PT Astra Serif"/>
          <w:sz w:val="28"/>
          <w:szCs w:val="28"/>
          <w:lang w:eastAsia="zh-CN" w:bidi="ar-SA"/>
        </w:rPr>
      </w:pPr>
      <w:r>
        <w:rPr>
          <w:rFonts w:ascii="PT Astra Serif" w:hAnsi="PT Astra Serif"/>
          <w:sz w:val="28"/>
          <w:szCs w:val="28"/>
          <w:lang w:eastAsia="zh-CN" w:bidi="ar-SA"/>
        </w:rPr>
        <w:t xml:space="preserve">Показатели результативности и </w:t>
      </w:r>
    </w:p>
    <w:p>
      <w:pPr>
        <w:jc w:val="center"/>
        <w:rPr>
          <w:rFonts w:ascii="PT Astra Serif" w:hAnsi="PT Astra Serif"/>
          <w:sz w:val="28"/>
          <w:szCs w:val="28"/>
          <w:lang w:eastAsia="zh-CN" w:bidi="ar-SA"/>
        </w:rPr>
      </w:pPr>
      <w:r>
        <w:rPr>
          <w:rFonts w:ascii="PT Astra Serif" w:hAnsi="PT Astra Serif"/>
          <w:sz w:val="28"/>
          <w:szCs w:val="28"/>
          <w:lang w:eastAsia="zh-CN" w:bidi="ar-SA"/>
        </w:rPr>
        <w:t xml:space="preserve">эффективности Программы</w:t>
      </w:r>
    </w:p>
    <w:p>
      <w:pPr>
        <w:jc w:val="center"/>
        <w:rPr>
          <w:rFonts w:ascii="PT Astra Serif" w:hAnsi="PT Astra Serif"/>
          <w:sz w:val="28"/>
          <w:szCs w:val="28"/>
        </w:rPr>
      </w:pPr>
    </w:p>
    <w:p>
      <w:pPr>
        <w:pStyle w:val="af1"/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hyperlink r:id="rId55">
        <w:r>
          <w:rPr>
            <w:rFonts w:ascii="PT Astra Serif" w:hAnsi="PT Astra Serif"/>
            <w:sz w:val="28"/>
            <w:szCs w:val="28"/>
          </w:rPr>
          <w:t xml:space="preserve">Ожидаемым социальным эффектом от проводимых профилактических мероприятий является повышение уровня осведомленности об обязательных требованиях в сфере архивного дела, о том, какие именно интересы граждан и организаций защищаются при осуществлении контрольных (надзорных) мероприятий специалистами комитета по делам архивов Департамента, что   повлечет сокращение количества нарушений законодательства об архивном деле, сохранение исторически и социально значимых документов, сокращение нарушений прав граждан и организаций на</w:t>
        </w:r>
        <w:r>
          <w:rPr>
            <w:rFonts w:ascii="PT Astra Serif" w:hAnsi="PT Astra Serif"/>
            <w:sz w:val="28"/>
            <w:szCs w:val="28"/>
          </w:rPr>
          <w:t xml:space="preserve"> получение информации.</w:t>
        </w:r>
      </w:hyperlink>
    </w:p>
    <w:p>
      <w:pPr>
        <w:pStyle w:val="af1"/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hyperlink r:id="rId56">
        <w:r>
          <w:rPr>
            <w:rFonts w:ascii="PT Astra Serif" w:hAnsi="PT Astra Serif"/>
            <w:sz w:val="28"/>
            <w:szCs w:val="28"/>
          </w:rPr>
          <w:t xml:space="preserve">Экономическим эффектом от реализованных мероприятий должна быть минимизация ресурсных затрат всех участников контрольной (надзорной) деятельности за счет снижения административного давления.</w:t>
        </w:r>
      </w:hyperlink>
    </w:p>
    <w:p>
      <w:pPr>
        <w:tabs>
          <w:tab w:val="left" w:pos="993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Оценить </w:t>
      </w:r>
      <w:r>
        <w:rPr>
          <w:rFonts w:ascii="PT Astra Serif" w:hAnsi="PT Astra Serif"/>
          <w:sz w:val="28"/>
          <w:szCs w:val="28"/>
          <w:lang w:eastAsia="zh-CN" w:bidi="ar-SA"/>
        </w:rPr>
        <w:t xml:space="preserve">результативность и эффективность Программы позволяют следующие</w:t>
      </w:r>
      <w:r>
        <w:rPr>
          <w:rFonts w:ascii="PT Astra Serif" w:hAnsi="PT Astra Serif"/>
          <w:sz w:val="28"/>
          <w:szCs w:val="28"/>
        </w:rPr>
        <w:t xml:space="preserve"> показатели:</w:t>
      </w:r>
    </w:p>
    <w:p>
      <w:pPr>
        <w:pStyle w:val="af1"/>
        <w:numPr>
          <w:numId w:val="2"/>
          <w:ilvl w:val="0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hyperlink r:id="rId57">
        <w:r>
          <w:rPr>
            <w:rFonts w:ascii="PT Astra Serif" w:hAnsi="PT Astra Serif"/>
            <w:sz w:val="28"/>
            <w:szCs w:val="28"/>
          </w:rPr>
          <w:t xml:space="preserve">количество проведенных профилактических мероприятий. </w:t>
        </w:r>
      </w:hyperlink>
    </w:p>
    <w:p>
      <w:pPr>
        <w:pStyle w:val="af1"/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hyperlink r:id="rId58">
        <w:r>
          <w:rPr>
            <w:rFonts w:ascii="PT Astra Serif" w:hAnsi="PT Astra Serif"/>
            <w:sz w:val="28"/>
            <w:szCs w:val="28"/>
          </w:rPr>
          <w:t xml:space="preserve">Единица измерений – единица.</w:t>
        </w:r>
      </w:hyperlink>
    </w:p>
    <w:p>
      <w:pPr>
        <w:pStyle w:val="af1"/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hyperlink r:id="rId59">
        <w:r>
          <w:rPr>
            <w:rFonts w:ascii="PT Astra Serif" w:hAnsi="PT Astra Serif"/>
            <w:sz w:val="28"/>
            <w:szCs w:val="28"/>
          </w:rPr>
          <w:t xml:space="preserve">Разъяснения по показателю: количество проведенных мероприятий по формам.</w:t>
        </w:r>
      </w:hyperlink>
    </w:p>
    <w:p>
      <w:pPr>
        <w:pStyle w:val="af1"/>
        <w:numPr>
          <w:numId w:val="2"/>
          <w:ilvl w:val="0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hyperlink r:id="rId60">
        <w:r>
          <w:rPr>
            <w:rFonts w:ascii="PT Astra Serif" w:hAnsi="PT Astra Serif"/>
            <w:sz w:val="28"/>
            <w:szCs w:val="28"/>
          </w:rPr>
          <w:t xml:space="preserve">количество субъектов, в отношении которых проведены профилактические мероприятия.</w:t>
        </w:r>
      </w:hyperlink>
    </w:p>
    <w:p>
      <w:pPr>
        <w:pStyle w:val="af1"/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hyperlink r:id="rId61">
        <w:r>
          <w:rPr>
            <w:rFonts w:ascii="PT Astra Serif" w:hAnsi="PT Astra Serif"/>
            <w:sz w:val="28"/>
            <w:szCs w:val="28"/>
          </w:rPr>
          <w:t xml:space="preserve">Единица измерения – единица.</w:t>
        </w:r>
      </w:hyperlink>
    </w:p>
    <w:p>
      <w:pPr>
        <w:pStyle w:val="af1"/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hyperlink r:id="rId62">
        <w:r>
          <w:rPr>
            <w:rFonts w:ascii="PT Astra Serif" w:hAnsi="PT Astra Serif"/>
            <w:sz w:val="28"/>
            <w:szCs w:val="28"/>
          </w:rPr>
          <w:t xml:space="preserve">Разъяснения по показателю: количество подконтрольных субъектов – адресатов проведенных мероприятий.</w:t>
        </w:r>
      </w:hyperlink>
    </w:p>
    <w:p>
      <w:pPr>
        <w:tabs>
          <w:tab w:val="left" w:pos="993"/>
        </w:tabs>
        <w:ind w:firstLine="709"/>
        <w:jc w:val="both"/>
        <w:rPr>
          <w:rFonts w:ascii="PT Astra Serif" w:hAnsi="PT Astra Serif"/>
        </w:rPr>
      </w:pPr>
      <w:hyperlink r:id="rId63">
        <w:r>
          <w:rPr>
            <w:rFonts w:ascii="PT Astra Serif" w:hAnsi="PT Astra Serif"/>
            <w:sz w:val="28"/>
            <w:szCs w:val="28"/>
          </w:rPr>
          <w:t xml:space="preserve">3) доля проверок, по итогам которых выявлены нарушения обязательных требований от общего количества запланированных проверок.</w:t>
        </w:r>
      </w:hyperlink>
    </w:p>
    <w:p>
      <w:pPr>
        <w:tabs>
          <w:tab w:val="left" w:pos="993"/>
        </w:tabs>
        <w:ind w:firstLine="709"/>
        <w:jc w:val="both"/>
        <w:rPr>
          <w:rFonts w:ascii="PT Astra Serif" w:hAnsi="PT Astra Serif"/>
        </w:rPr>
      </w:pPr>
      <w:hyperlink r:id="rId64">
        <w:r>
          <w:rPr>
            <w:rFonts w:ascii="PT Astra Serif" w:hAnsi="PT Astra Serif"/>
            <w:sz w:val="28"/>
            <w:szCs w:val="28"/>
          </w:rPr>
          <w:t xml:space="preserve">Единица измерений – процент.</w:t>
        </w:r>
      </w:hyperlink>
    </w:p>
    <w:p>
      <w:pPr>
        <w:tabs>
          <w:tab w:val="left" w:pos="993"/>
        </w:tabs>
        <w:ind w:firstLine="709"/>
        <w:jc w:val="both"/>
        <w:rPr>
          <w:rFonts w:ascii="PT Astra Serif" w:hAnsi="PT Astra Serif"/>
        </w:rPr>
      </w:pPr>
      <w:hyperlink r:id="rId65">
        <w:r>
          <w:rPr>
            <w:rFonts w:ascii="PT Astra Serif" w:hAnsi="PT Astra Serif"/>
            <w:sz w:val="28"/>
            <w:szCs w:val="28"/>
          </w:rPr>
          <w:t xml:space="preserve">Разъяснения по показателю: отношение количества проверок за отчетный период, по которым выявлены нарушения обязательных требований, к общему количеству проведенных плановых проверок за отчетный период.</w:t>
        </w:r>
      </w:hyperlink>
    </w:p>
    <w:p>
      <w:pPr>
        <w:tabs>
          <w:tab w:val="left" w:pos="993"/>
        </w:tabs>
        <w:ind w:firstLine="709"/>
        <w:jc w:val="both"/>
        <w:rPr>
          <w:rFonts w:ascii="PT Astra Serif" w:hAnsi="PT Astra Serif"/>
        </w:rPr>
      </w:pPr>
      <w:hyperlink r:id="rId66">
        <w:r>
          <w:rPr>
            <w:rFonts w:ascii="PT Astra Serif" w:hAnsi="PT Astra Serif"/>
            <w:sz w:val="28"/>
            <w:szCs w:val="28"/>
          </w:rPr>
          <w:t xml:space="preserve">4) доля внеплановых проверок, по итогам которых установлено, что предписания подконтрольными субъектами исполняются в полном объеме, от общего количества проведенных внеплановых проверок.</w:t>
        </w:r>
      </w:hyperlink>
    </w:p>
    <w:p>
      <w:pPr>
        <w:ind w:firstLine="709"/>
        <w:jc w:val="both"/>
        <w:rPr>
          <w:rFonts w:ascii="PT Astra Serif" w:hAnsi="PT Astra Serif"/>
        </w:rPr>
      </w:pPr>
      <w:hyperlink r:id="rId67">
        <w:r>
          <w:rPr>
            <w:rFonts w:ascii="PT Astra Serif" w:hAnsi="PT Astra Serif"/>
            <w:sz w:val="28"/>
            <w:szCs w:val="28"/>
          </w:rPr>
          <w:t xml:space="preserve">Единица измерения – процент.</w:t>
        </w:r>
      </w:hyperlink>
    </w:p>
    <w:p>
      <w:pPr>
        <w:ind w:firstLine="709"/>
        <w:jc w:val="both"/>
        <w:rPr>
          <w:rFonts w:ascii="PT Astra Serif" w:hAnsi="PT Astra Serif"/>
        </w:rPr>
      </w:pPr>
      <w:hyperlink r:id="rId68">
        <w:r>
          <w:rPr>
            <w:rFonts w:ascii="PT Astra Serif" w:hAnsi="PT Astra Serif"/>
            <w:sz w:val="28"/>
            <w:szCs w:val="28"/>
          </w:rPr>
          <w:t xml:space="preserve">Разъяснения по показателю: отношение количества внеплановых проверок за отчетный период, по итогам которых установлено, что предписания подконтрольными субъектами исполняются в полном объеме, к общему количеству проведенных внеплановых проверок за отчетный период.</w:t>
        </w:r>
      </w:hyperlink>
    </w:p>
    <w:p>
      <w:pPr>
        <w:pStyle w:val="aff0"/>
        <w:rPr>
          <w:rFonts w:ascii="PT Astra Serif" w:hAnsi="PT Astra Serif"/>
          <w:sz w:val="28"/>
          <w:szCs w:val="28"/>
        </w:rPr>
      </w:pPr>
    </w:p>
    <w:p>
      <w:pPr>
        <w:pStyle w:val="aff0"/>
        <w:rPr>
          <w:rFonts w:ascii="PT Astra Serif" w:hAnsi="PT Astra Serif"/>
          <w:sz w:val="28"/>
          <w:szCs w:val="28"/>
        </w:rPr>
      </w:pPr>
    </w:p>
    <w:p>
      <w:pPr>
        <w:pStyle w:val="aff0"/>
        <w:rPr>
          <w:rFonts w:ascii="PT Astra Serif" w:hAnsi="PT Astra Serif"/>
          <w:sz w:val="28"/>
          <w:szCs w:val="28"/>
        </w:rPr>
      </w:pPr>
    </w:p>
    <w:p>
      <w:pPr>
        <w:pStyle w:val="ConsPlusNormal"/>
        <w:ind w:left="5669"/>
        <w:rPr>
          <w:rFonts w:ascii="PT Astra Serif" w:hAnsi="PT Astra Serif"/>
          <w:sz w:val="28"/>
          <w:szCs w:val="28"/>
        </w:rPr>
      </w:pPr>
    </w:p>
    <w:p>
      <w:pPr>
        <w:pStyle w:val="ConsPlusNormal"/>
        <w:ind w:left="566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lang w:eastAsia="zh-CN"/>
        </w:rPr>
        <w:t xml:space="preserve">Приложение </w:t>
      </w:r>
      <w:r>
        <w:rPr>
          <w:rFonts w:ascii="PT Astra Serif" w:hAnsi="PT Astra Serif" w:cs="Times New Roman"/>
          <w:sz w:val="28"/>
          <w:szCs w:val="28"/>
          <w:lang w:eastAsia="zh-CN"/>
        </w:rPr>
        <w:t xml:space="preserve">к</w:t>
      </w:r>
      <w:r>
        <w:rPr>
          <w:rFonts w:ascii="PT Astra Serif" w:hAnsi="PT Astra Serif" w:cs="Times New Roman"/>
          <w:sz w:val="28"/>
          <w:szCs w:val="28"/>
          <w:lang w:eastAsia="zh-CN"/>
        </w:rPr>
        <w:t xml:space="preserve"> </w:t>
      </w:r>
    </w:p>
    <w:p>
      <w:pPr>
        <w:pStyle w:val="ConsPlusNormal"/>
        <w:ind w:left="566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lang w:eastAsia="zh-CN"/>
        </w:rPr>
        <w:t xml:space="preserve">программе профилактики</w:t>
      </w:r>
    </w:p>
    <w:p>
      <w:pPr>
        <w:pStyle w:val="ConsPlusNormal"/>
        <w:ind w:left="566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lang w:eastAsia="zh-CN"/>
        </w:rPr>
        <w:t xml:space="preserve">рисков причинения вреда  (ущерба) охра</w:t>
      </w:r>
      <w:r>
        <w:rPr>
          <w:rFonts w:ascii="PT Astra Serif" w:hAnsi="PT Astra Serif" w:cs="Times New Roman"/>
          <w:sz w:val="28"/>
          <w:szCs w:val="28"/>
          <w:lang w:eastAsia="zh-CN"/>
        </w:rPr>
        <w:t xml:space="preserve">няемым законом ценностям на 2025</w:t>
      </w:r>
      <w:r>
        <w:rPr>
          <w:rFonts w:ascii="PT Astra Serif" w:hAnsi="PT Astra Serif" w:cs="Times New Roman"/>
          <w:sz w:val="28"/>
          <w:szCs w:val="28"/>
          <w:lang w:eastAsia="zh-CN"/>
        </w:rPr>
        <w:t xml:space="preserve"> год </w:t>
      </w:r>
    </w:p>
    <w:p>
      <w:pPr>
        <w:pStyle w:val="ConsPlusNormal"/>
        <w:ind w:left="5669" w:right="5499"/>
        <w:rPr>
          <w:rFonts w:ascii="PT Astra Serif" w:hAnsi="PT Astra Serif"/>
          <w:sz w:val="28"/>
          <w:szCs w:val="28"/>
        </w:rPr>
      </w:pPr>
    </w:p>
    <w:p>
      <w:pPr>
        <w:pStyle w:val="aff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План проведения профилактических визитов</w:t>
      </w:r>
    </w:p>
    <w:p>
      <w:pPr>
        <w:pStyle w:val="aff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 2025</w:t>
      </w:r>
      <w:r>
        <w:rPr>
          <w:rFonts w:ascii="PT Astra Serif" w:hAnsi="PT Astra Serif"/>
          <w:sz w:val="28"/>
          <w:szCs w:val="28"/>
        </w:rPr>
        <w:t xml:space="preserve"> год</w:t>
      </w:r>
    </w:p>
    <w:p>
      <w:pPr>
        <w:pStyle w:val="aff0"/>
        <w:jc w:val="center"/>
        <w:rPr>
          <w:rFonts w:ascii="PT Astra Serif" w:hAnsi="PT Astra Serif"/>
          <w:sz w:val="28"/>
          <w:szCs w:val="28"/>
        </w:rPr>
      </w:pPr>
    </w:p>
    <w:tbl>
      <w:tblPr>
        <w:tblW w:w="9585" w:type="dxa"/>
        <w:tblInd w:w="28" w:type="dxa"/>
        <w:tblCellMar>
          <w:left w:w="28" w:type="dxa"/>
          <w:top w:w="28" w:type="dxa"/>
          <w:right w:w="28" w:type="dxa"/>
          <w:bottom w:w="28" w:type="dxa"/>
        </w:tblCellMar>
        <w:tblLook w:val="04A0" w:firstRow="1" w:lastRow="0" w:firstColumn="1" w:lastColumn="0" w:noHBand="0" w:noVBand="1"/>
      </w:tblPr>
      <w:tblGrid>
        <w:gridCol w:w="735"/>
        <w:gridCol w:w="5955"/>
        <w:gridCol w:w="2895"/>
      </w:tblGrid>
      <w:tr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</w:tcPr>
          <w:p>
            <w:pPr>
              <w:pStyle w:val="afe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п</w:t>
            </w:r>
            <w:r>
              <w:rPr>
                <w:rFonts w:ascii="PT Astra Serif" w:hAnsi="PT Astra Serif"/>
                <w:sz w:val="28"/>
                <w:szCs w:val="28"/>
              </w:rPr>
              <w:t xml:space="preserve">/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п</w:t>
            </w:r>
          </w:p>
        </w:tc>
        <w:tc>
          <w:tcPr>
            <w:tcW w:w="59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</w:tcPr>
          <w:p>
            <w:pPr>
              <w:pStyle w:val="afe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Наименование юридического лица, в отношении которого запланировано проведение профилактического визита</w:t>
            </w:r>
          </w:p>
        </w:tc>
        <w:tc>
          <w:tcPr>
            <w:tcW w:w="28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pStyle w:val="afe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Месяц проведения профилактического визита</w:t>
            </w:r>
          </w:p>
        </w:tc>
      </w:tr>
      <w:tr>
        <w:tc>
          <w:tcPr>
            <w:tcW w:w="735" w:type="dxa"/>
            <w:tcBorders>
              <w:left w:val="single" w:color="000000" w:sz="2" w:space="0"/>
              <w:bottom w:val="single" w:color="000000" w:sz="2" w:space="0"/>
            </w:tcBorders>
          </w:tcPr>
          <w:p>
            <w:pPr>
              <w:pStyle w:val="afe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1</w:t>
            </w:r>
          </w:p>
        </w:tc>
        <w:tc>
          <w:tcPr>
            <w:tcW w:w="5955" w:type="dxa"/>
            <w:tcBorders>
              <w:left w:val="single" w:color="000000" w:sz="2" w:space="0"/>
              <w:bottom w:val="single" w:color="000000" w:sz="2" w:space="0"/>
            </w:tcBorders>
          </w:tcPr>
          <w:p>
            <w:pPr>
              <w:pStyle w:val="afe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Администрация Зырянского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район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а Томской области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895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pStyle w:val="afe"/>
              <w:jc w:val="center"/>
              <w:rPr>
                <w:rFonts w:ascii="PT Astra Serif" w:hAnsi="PT Astra Serif"/>
                <w:sz w:val="28"/>
                <w:szCs w:val="28"/>
                <w:lang w:eastAsia="zh-CN" w:bidi="ar-SA"/>
              </w:rPr>
            </w:pPr>
            <w:r>
              <w:rPr>
                <w:rFonts w:ascii="PT Astra Serif" w:hAnsi="PT Astra Serif"/>
                <w:sz w:val="28"/>
                <w:szCs w:val="28"/>
                <w:lang w:eastAsia="zh-CN" w:bidi="ar-SA"/>
              </w:rPr>
              <w:t xml:space="preserve">Февраль 2025</w:t>
            </w:r>
          </w:p>
        </w:tc>
      </w:tr>
      <w:tr>
        <w:tc>
          <w:tcPr>
            <w:tcW w:w="735" w:type="dxa"/>
            <w:tcBorders>
              <w:left w:val="single" w:color="000000" w:sz="2" w:space="0"/>
              <w:bottom w:val="single" w:color="000000" w:sz="2" w:space="0"/>
            </w:tcBorders>
          </w:tcPr>
          <w:p>
            <w:pPr>
              <w:pStyle w:val="afe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2</w:t>
            </w:r>
          </w:p>
        </w:tc>
        <w:tc>
          <w:tcPr>
            <w:tcW w:w="5955" w:type="dxa"/>
            <w:tcBorders>
              <w:left w:val="single" w:color="000000" w:sz="2" w:space="0"/>
              <w:bottom w:val="single" w:color="000000" w:sz="2" w:space="0"/>
            </w:tcBorders>
          </w:tcPr>
          <w:p>
            <w:pPr>
              <w:pStyle w:val="afe"/>
            </w:pPr>
            <w:r>
              <w:rPr>
                <w:rFonts w:ascii="PT Astra Serif" w:hAnsi="PT Astra Serif"/>
                <w:sz w:val="28"/>
                <w:szCs w:val="28"/>
              </w:rPr>
              <w:t xml:space="preserve">Администрация Тегульдетского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район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а</w:t>
            </w:r>
          </w:p>
        </w:tc>
        <w:tc>
          <w:tcPr>
            <w:tcW w:w="2895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pStyle w:val="afe"/>
              <w:jc w:val="center"/>
              <w:rPr>
                <w:rFonts w:ascii="PT Astra Serif" w:hAnsi="PT Astra Serif"/>
                <w:sz w:val="28"/>
                <w:szCs w:val="28"/>
                <w:lang w:eastAsia="zh-CN" w:bidi="ar-SA"/>
              </w:rPr>
            </w:pPr>
            <w:r>
              <w:rPr>
                <w:rFonts w:ascii="PT Astra Serif" w:hAnsi="PT Astra Serif"/>
                <w:sz w:val="28"/>
                <w:szCs w:val="28"/>
                <w:lang w:eastAsia="zh-CN" w:bidi="ar-SA"/>
              </w:rPr>
              <w:t xml:space="preserve">Февраль 2025</w:t>
            </w:r>
          </w:p>
        </w:tc>
      </w:tr>
      <w:tr>
        <w:tc>
          <w:tcPr>
            <w:tcW w:w="735" w:type="dxa"/>
            <w:tcBorders>
              <w:left w:val="single" w:color="000000" w:sz="2" w:space="0"/>
              <w:bottom w:val="single" w:color="000000" w:sz="2" w:space="0"/>
            </w:tcBorders>
          </w:tcPr>
          <w:p>
            <w:pPr>
              <w:pStyle w:val="afe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3</w:t>
            </w:r>
          </w:p>
        </w:tc>
        <w:tc>
          <w:tcPr>
            <w:tcW w:w="5955" w:type="dxa"/>
            <w:tcBorders>
              <w:left w:val="single" w:color="000000" w:sz="2" w:space="0"/>
              <w:bottom w:val="single" w:color="000000" w:sz="2" w:space="0"/>
            </w:tcBorders>
          </w:tcPr>
          <w:p>
            <w:pPr>
              <w:pStyle w:val="afe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Администрация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Каргасокского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район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а</w:t>
            </w:r>
          </w:p>
        </w:tc>
        <w:tc>
          <w:tcPr>
            <w:tcW w:w="2895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pStyle w:val="afe"/>
              <w:jc w:val="center"/>
              <w:rPr>
                <w:rFonts w:ascii="PT Astra Serif" w:hAnsi="PT Astra Serif"/>
                <w:sz w:val="28"/>
                <w:szCs w:val="28"/>
                <w:lang w:eastAsia="zh-CN" w:bidi="ar-SA"/>
              </w:rPr>
            </w:pPr>
            <w:r>
              <w:rPr>
                <w:rFonts w:ascii="PT Astra Serif" w:hAnsi="PT Astra Serif"/>
                <w:sz w:val="28"/>
                <w:szCs w:val="28"/>
                <w:lang w:eastAsia="zh-CN" w:bidi="ar-SA"/>
              </w:rPr>
              <w:t xml:space="preserve">Октябрь 2025</w:t>
            </w:r>
          </w:p>
        </w:tc>
      </w:tr>
      <w:tr>
        <w:tc>
          <w:tcPr>
            <w:tcW w:w="735" w:type="dxa"/>
            <w:tcBorders>
              <w:left w:val="single" w:color="000000" w:sz="2" w:space="0"/>
              <w:bottom w:val="single" w:color="000000" w:sz="2" w:space="0"/>
            </w:tcBorders>
          </w:tcPr>
          <w:p>
            <w:pPr>
              <w:pStyle w:val="afe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4</w:t>
            </w:r>
          </w:p>
        </w:tc>
        <w:tc>
          <w:tcPr>
            <w:tcW w:w="5955" w:type="dxa"/>
            <w:tcBorders>
              <w:left w:val="single" w:color="000000" w:sz="2" w:space="0"/>
              <w:bottom w:val="single" w:color="000000" w:sz="2" w:space="0"/>
            </w:tcBorders>
          </w:tcPr>
          <w:p>
            <w:pPr>
              <w:pStyle w:val="afe"/>
            </w:pPr>
            <w:r>
              <w:rPr>
                <w:rFonts w:ascii="PT Astra Serif" w:hAnsi="PT Astra Serif"/>
                <w:sz w:val="28"/>
                <w:szCs w:val="28"/>
              </w:rPr>
              <w:t xml:space="preserve">Муниципальное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казенное учреждение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Администрация Парабельского района</w:t>
            </w:r>
          </w:p>
        </w:tc>
        <w:tc>
          <w:tcPr>
            <w:tcW w:w="2895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pStyle w:val="afe"/>
              <w:jc w:val="center"/>
              <w:rPr>
                <w:rFonts w:ascii="PT Astra Serif" w:hAnsi="PT Astra Serif"/>
                <w:sz w:val="28"/>
                <w:szCs w:val="28"/>
                <w:lang w:eastAsia="zh-CN" w:bidi="ar-SA"/>
              </w:rPr>
            </w:pPr>
            <w:r>
              <w:rPr>
                <w:rFonts w:ascii="PT Astra Serif" w:hAnsi="PT Astra Serif"/>
                <w:sz w:val="28"/>
                <w:szCs w:val="28"/>
                <w:lang w:eastAsia="zh-CN" w:bidi="ar-SA"/>
              </w:rPr>
              <w:t xml:space="preserve">Октябрь 2025</w:t>
            </w:r>
          </w:p>
        </w:tc>
      </w:tr>
    </w:tbl>
    <w:p>
      <w:pPr>
        <w:pStyle w:val="aff0"/>
        <w:jc w:val="center"/>
        <w:rPr>
          <w:rFonts w:ascii="PT Astra Serif" w:hAnsi="PT Astra Serif"/>
          <w:sz w:val="28"/>
          <w:szCs w:val="28"/>
        </w:rPr>
      </w:pPr>
    </w:p>
    <w:p>
      <w:pPr>
        <w:pStyle w:val="aff0"/>
        <w:spacing w:before="480"/>
        <w:jc w:val="center"/>
        <w:rPr>
          <w:rFonts w:ascii="PT Astra Serif" w:hAnsi="PT Astra Serif"/>
        </w:rPr>
      </w:pPr>
    </w:p>
    <w:sectPr>
      <w:headerReference w:type="default" r:id="rId13"/>
      <w:footerReference w:type="default" r:id="rId18"/>
      <w:pgSz w:w="11906" w:h="16838"/>
      <w:pgMar w:top="1191" w:right="851" w:bottom="1134" w:left="1418" w:header="113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panose1 w:val="05010000000000000000"/>
  </w:font>
  <w:font w:name="Liberation Sans">
    <w:panose1 w:val="020B0604020202020204"/>
  </w:font>
  <w:font w:name="Calibri">
    <w:panose1 w:val="020F0502020204030204"/>
  </w:font>
  <w:font w:name="Noto Sans Devanagari">
    <w:panose1 w:val="020B050204050402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spacing w:before="0"/>
      <w:rPr>
        <w:b w:val="0"/>
        <w:szCs w:val="28"/>
      </w:rPr>
    </w:pPr>
    <w:r>
      <w:rPr>
        <w:rFonts w:ascii="PT Astra Serif" w:hAnsi="PT Astra Serif"/>
        <w:b w:val="0"/>
        <w:szCs w:val="28"/>
      </w:rPr>
      <w:fldChar w:fldCharType="begin"/>
    </w:r>
    <w:r>
      <w:rPr>
        <w:rFonts w:ascii="PT Astra Serif" w:hAnsi="PT Astra Serif"/>
        <w:b w:val="0"/>
        <w:szCs w:val="28"/>
      </w:rPr>
      <w:instrText xml:space="preserve"> PAGE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 xml:space="preserve"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eastAsia="PT Astra Serif" w:cs="PT Astra Serif"/>
        <w:b/>
        <w:sz w:val="12"/>
        <w:szCs w:val="12"/>
      </w:rPr>
    </w:pPr>
    <w:r/>
    <w:r>
      <mc:AlternateContent>
        <mc:Choice Requires="wpg">
          <w:drawing>
            <wp:inline xmlns:wp="http://schemas.openxmlformats.org/drawingml/2006/wordprocessingDrawing" distT="0" distB="0" distL="0" distR="0">
              <wp:extent cx="676275" cy="622300"/>
              <wp:effectExtent l="0" t="0" r="0" b="0"/>
              <wp:docPr id="2" name="_x0000_i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676275" cy="622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9.0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ПО КУЛЬТУРЕ </w: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</w:p>
  <w:p>
    <w:pPr>
      <w:pStyle w:val="Header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рАСПОРЯЖЕНИЕ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rPr>
        <w:rFonts w:ascii="PT Astra Serif" w:hAnsi="PT Astra Serif"/>
        <w:b w:val="0"/>
      </w:rPr>
    </w:pPr>
    <w:r>
      <w:rPr>
        <w:rFonts w:ascii="PT Astra Serif" w:hAnsi="PT Astra Serif"/>
        <w:b w:val="0"/>
        <w:szCs w:val="28"/>
      </w:rPr>
      <w:t xml:space="preserve">1</w:t>
    </w:r>
    <w:r>
      <w:rPr>
        <w:rFonts w:ascii="PT Astra Serif" w:hAnsi="PT Astra Serif"/>
        <w:b w:val="0"/>
        <w:szCs w:val="28"/>
        <w:lang w:eastAsia="zh-CN" w:bidi="ar-SA"/>
      </w:rPr>
      <w:t xml:space="preserve">0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rPr>
        <w:rFonts w:ascii="PT Astra Serif" w:hAnsi="PT Astra Serif"/>
        <w:b w:val="0"/>
      </w:rPr>
    </w:pPr>
    <w:r>
      <w:rPr>
        <w:rFonts w:ascii="PT Astra Serif" w:hAnsi="PT Astra Serif"/>
        <w:b w:val="0"/>
        <w:szCs w:val="28"/>
        <w:lang w:eastAsia="zh-CN" w:bidi="ar-SA"/>
      </w:rPr>
      <w:t xml:space="preserve">9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</w:pPr>
    <w:r>
      <w:rPr>
        <w:rFonts w:ascii="PT Astra Serif" w:hAnsi="PT Astra Serif"/>
        <w:b w:val="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51658240" behindDoc="1" locked="0" layoutInCell="1" allowOverlap="1">
              <wp:simplePos x="0" y="0"/>
              <wp:positionH relativeFrom="page">
                <wp:posOffset>3841115</wp:posOffset>
              </wp:positionH>
              <wp:positionV relativeFrom="paragraph">
                <wp:posOffset>-119379</wp:posOffset>
              </wp:positionV>
              <wp:extent cx="243205" cy="273685"/>
              <wp:effectExtent l="0" t="0" r="0" b="0"/>
              <wp:wrapSquare wrapText="bothSides"/>
              <wp:docPr id="3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>
                      <a:xfrm>
                        <a:off x="0" y="0"/>
                        <a:ext cx="243205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1" type="#_x0000_t1" style="position:absolute;z-index:-251658240;o:allowoverlap:true;o:allowincell:true;mso-position-horizontal-relative:page;margin-left:302.4pt;mso-position-horizontal:absolute;mso-position-vertical-relative:text;margin-top:-9.4pt;mso-position-vertical:absolute;width:19.1pt;height:21.6pt;mso-wrap-distance-left:0.0pt;mso-wrap-distance-top:0.0pt;mso-wrap-distance-right:0.0pt;mso-wrap-distance-bottom:0.0pt;visibility:visible;" filled="f" stroked="f">
              <w10:wrap type="square"/>
            </v:shape>
          </w:pict>
        </mc:Fallback>
      </mc:AlternateContent>
    </w:r>
    <w:r>
      <w:rPr>
        <w:rFonts w:ascii="PT Astra Serif" w:hAnsi="PT Astra Serif"/>
        <w:b w:val="0"/>
      </w:rPr>
      <w:fldChar w:fldCharType="begin"/>
    </w:r>
    <w:r>
      <w:rPr>
        <w:rFonts w:ascii="PT Astra Serif" w:hAnsi="PT Astra Serif"/>
        <w:b w:val="0"/>
      </w:rPr>
      <w:instrText xml:space="preserve"> PAGE </w:instrText>
    </w:r>
    <w:r>
      <w:rPr>
        <w:rFonts w:ascii="PT Astra Serif" w:hAnsi="PT Astra Serif"/>
        <w:b w:val="0"/>
      </w:rPr>
      <w:fldChar w:fldCharType="separate"/>
    </w:r>
    <w:r>
      <w:rPr>
        <w:rFonts w:ascii="PT Astra Serif" w:hAnsi="PT Astra Serif"/>
        <w:b w:val="0"/>
      </w:rPr>
      <w:t xml:space="preserve">11</w:t>
    </w:r>
    <w:r>
      <w:rPr>
        <w:rFonts w:ascii="PT Astra Serif" w:hAnsi="PT Astra Serif"/>
        <w:b w:val="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AE2431BA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 w:tplc="085E374C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 w:tplc="D736AA34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 w:tplc="33940A8E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 w:tplc="25F0E7F2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 w:tplc="D1263E1E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 w:tplc="742AE668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 w:tplc="B364966E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 w:tplc="63426E20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>
    <w:multiLevelType w:val="hybridMultilevel"/>
    <w:lvl w:ilvl="0" w:tplc="4732CD4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F03232C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3C74817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66FC454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C4CC3BF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0F022C8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A8FA1AB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0ADE247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CFE4D57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multiLevelType w:val="hybridMultilevel"/>
    <w:lvl w:ilvl="0" w:tplc="624C524C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 w:tplc="807A506E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 w:tplc="1A88544A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 w:tplc="1E700C8E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 w:tplc="E914533A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 w:tplc="2F6832B4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 w:tplc="9A2C12DE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 w:tplc="29FC2BA8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 w:tplc="3E7ED6F6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Pr>
      <w:szCs w:val="22"/>
      <w:lang w:eastAsia="en-US" w:bidi="en-US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Heading1" w:customStyle="1">
    <w:name w:val="Heading 1"/>
    <w:link w:val="1"/>
    <w:uiPriority w:val="9"/>
    <w:qFormat/>
    <w:pPr>
      <w:keepNext/>
      <w:keepLines/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 w:customStyle="1">
    <w:name w:val="Heading 2"/>
    <w:link w:val="2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eastAsia="Arial"/>
      <w:sz w:val="34"/>
    </w:rPr>
  </w:style>
  <w:style w:type="paragraph" w:styleId="Heading3" w:customStyle="1">
    <w:name w:val="Heading 3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 w:customStyle="1">
    <w:name w:val="Heading 4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 w:customStyle="1">
    <w:name w:val="Heading 5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 w:customStyle="1">
    <w:name w:val="Heading 6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 w:customStyle="1">
    <w:name w:val="Heading 7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 w:customStyle="1">
    <w:name w:val="Heading 8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 w:customStyle="1">
    <w:name w:val="Heading 9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1" w:customStyle="1">
    <w:name w:val="Заголовок 1 Знак"/>
    <w:link w:val="Heading1"/>
    <w:uiPriority w:val="9"/>
    <w:qFormat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20"/>
    <w:uiPriority w:val="9"/>
    <w:qFormat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qFormat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qFormat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qFormat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qFormat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qFormat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qFormat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qFormat/>
    <w:rPr>
      <w:rFonts w:ascii="Arial" w:hAnsi="Arial" w:eastAsia="Arial"/>
      <w:i/>
      <w:iCs/>
      <w:sz w:val="21"/>
      <w:szCs w:val="21"/>
      <w:lang w:bidi="ar-SA"/>
    </w:rPr>
  </w:style>
  <w:style w:type="character" w:styleId="a3" w:customStyle="1">
    <w:name w:val="Название Знак"/>
    <w:uiPriority w:val="10"/>
    <w:qFormat/>
    <w:rPr>
      <w:sz w:val="48"/>
      <w:szCs w:val="48"/>
      <w:lang w:bidi="ar-SA"/>
    </w:rPr>
  </w:style>
  <w:style w:type="character" w:styleId="a4" w:customStyle="1">
    <w:name w:val="Подзаголовок Знак"/>
    <w:uiPriority w:val="11"/>
    <w:qFormat/>
    <w:rPr>
      <w:sz w:val="24"/>
      <w:szCs w:val="24"/>
      <w:lang w:bidi="ar-SA"/>
    </w:rPr>
  </w:style>
  <w:style w:type="character" w:styleId="20" w:customStyle="1">
    <w:name w:val="Цитата 2 Знак"/>
    <w:link w:val="21"/>
    <w:uiPriority w:val="29"/>
    <w:qFormat/>
    <w:rPr>
      <w:i/>
      <w:lang w:val="ru-RU" w:eastAsia="ru-RU" w:bidi="ar-SA"/>
    </w:rPr>
  </w:style>
  <w:style w:type="character" w:styleId="a5" w:customStyle="1">
    <w:name w:val="Выделенная цитата Знак"/>
    <w:uiPriority w:val="30"/>
    <w:qFormat/>
    <w:rPr>
      <w:i/>
      <w:shd w:val="clear" w:color="auto" w:fill="f2f2f2"/>
      <w:lang w:val="ru-RU" w:eastAsia="ru-RU" w:bidi="ar-SA"/>
    </w:rPr>
  </w:style>
  <w:style w:type="character" w:styleId="a6" w:customStyle="1">
    <w:name w:val="Верхний колонтитул Знак"/>
    <w:uiPriority w:val="99"/>
    <w:qFormat/>
  </w:style>
  <w:style w:type="character" w:styleId="a7" w:customStyle="1">
    <w:name w:val="Нижний колонтитул Знак"/>
    <w:uiPriority w:val="99"/>
    <w:qFormat/>
  </w:style>
  <w:style w:type="character" w:styleId="-" w:customStyle="1">
    <w:name w:val="Интернет-ссылка"/>
    <w:uiPriority w:val="99"/>
    <w:unhideWhenUsed/>
    <w:rPr>
      <w:color w:val="0000ff"/>
      <w:u w:val="single"/>
    </w:rPr>
  </w:style>
  <w:style w:type="character" w:styleId="a8" w:customStyle="1">
    <w:name w:val="Текст сноски Знак"/>
    <w:uiPriority w:val="99"/>
    <w:semiHidden/>
    <w:qFormat/>
    <w:rPr>
      <w:sz w:val="18"/>
      <w:lang w:bidi="ar-SA"/>
    </w:rPr>
  </w:style>
  <w:style w:type="character" w:styleId="a9" w:customStyle="1">
    <w:name w:val="Привязка сноски"/>
    <w:rPr>
      <w:vertAlign w:val="superscript"/>
    </w:rPr>
  </w:style>
  <w:style w:type="character" w:styleId="FootnoteCharacters" w:customStyle="1">
    <w:name w:val="Footnote Characters"/>
    <w:uiPriority w:val="99"/>
    <w:unhideWhenUsed/>
    <w:qFormat/>
    <w:rPr>
      <w:vertAlign w:val="superscript"/>
    </w:rPr>
  </w:style>
  <w:style w:type="character" w:styleId="aa">
    <w:name w:val="page number"/>
    <w:basedOn w:val="a0"/>
  </w:style>
  <w:style w:type="character" w:styleId="ab" w:customStyle="1">
    <w:name w:val="Текст выноски Знак"/>
    <w:uiPriority w:val="99"/>
    <w:semiHidden/>
    <w:qFormat/>
    <w:rPr>
      <w:rFonts w:ascii="Tahoma" w:hAnsi="Tahoma" w:cs="Tahoma"/>
      <w:sz w:val="16"/>
      <w:szCs w:val="16"/>
    </w:rPr>
  </w:style>
  <w:style w:type="character" w:styleId="ac" w:customStyle="1">
    <w:name w:val="Основной текст с отступом Знак"/>
    <w:basedOn w:val="a0"/>
    <w:uiPriority w:val="99"/>
    <w:semiHidden/>
    <w:qFormat/>
    <w:rPr>
      <w:szCs w:val="22"/>
      <w:lang w:eastAsia="en-US" w:bidi="en-US"/>
    </w:rPr>
  </w:style>
  <w:style w:type="paragraph" w:styleId="ad" w:customStyle="1">
    <w:name w:val="Заголовок"/>
    <w:basedOn w:val="a"/>
    <w:next w:val="ae"/>
    <w:qFormat/>
    <w:pPr>
      <w:keepNext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ae">
    <w:name w:val="Body Text"/>
    <w:basedOn w:val="a"/>
    <w:next w:val="a"/>
    <w:pPr>
      <w:jc w:val="both"/>
    </w:pPr>
    <w:rPr>
      <w:sz w:val="22"/>
    </w:rPr>
  </w:style>
  <w:style w:type="paragraph" w:styleId="af">
    <w:name w:val="List"/>
    <w:basedOn w:val="ae"/>
    <w:rPr>
      <w:rFonts w:ascii="PT Astra Serif" w:hAnsi="PT Astra Serif" w:cs="Noto Sans Devanagari"/>
    </w:rPr>
  </w:style>
  <w:style w:type="paragraph" w:styleId="Caption" w:customStyle="1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f0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f1">
    <w:name w:val="List Paragraph"/>
    <w:uiPriority w:val="34"/>
    <w:qFormat/>
    <w:pPr>
      <w:ind w:left="720"/>
      <w:contextualSpacing/>
    </w:pPr>
    <w:rPr>
      <w:szCs w:val="22"/>
      <w:lang w:eastAsia="en-US" w:bidi="en-US"/>
    </w:rPr>
  </w:style>
  <w:style w:type="paragraph" w:styleId="af2">
    <w:name w:val="No Spacing"/>
    <w:uiPriority w:val="1"/>
    <w:qFormat/>
    <w:rPr>
      <w:szCs w:val="22"/>
      <w:lang w:eastAsia="en-US" w:bidi="en-US"/>
    </w:rPr>
  </w:style>
  <w:style w:type="paragraph" w:styleId="af3">
    <w:name w:val="Title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f4">
    <w:name w:val="Subtitle"/>
    <w:uiPriority w:val="11"/>
    <w:qFormat/>
    <w:pPr>
      <w:spacing w:before="200" w:after="200"/>
    </w:pPr>
    <w:rPr>
      <w:sz w:val="24"/>
      <w:szCs w:val="24"/>
    </w:rPr>
  </w:style>
  <w:style w:type="paragraph" w:styleId="21">
    <w:name w:val="Quote"/>
    <w:link w:val="20"/>
    <w:uiPriority w:val="29"/>
    <w:qFormat/>
    <w:pPr>
      <w:ind w:left="720" w:right="720"/>
    </w:pPr>
    <w:rPr>
      <w:i/>
    </w:rPr>
  </w:style>
  <w:style w:type="paragraph" w:styleId="af5">
    <w:name w:val="Intense Quote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paragraph" w:styleId="af6" w:customStyle="1">
    <w:name w:val="Верхний и нижний колонтитулы"/>
    <w:basedOn w:val="a"/>
    <w:qFormat/>
  </w:style>
  <w:style w:type="paragraph" w:styleId="Header" w:customStyle="1">
    <w:name w:val="Header"/>
    <w:basedOn w:val="a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Footer" w:customStyle="1">
    <w:name w:val="Footer"/>
    <w:basedOn w:val="a"/>
    <w:uiPriority w:val="99"/>
    <w:pPr>
      <w:tabs>
        <w:tab w:val="center" w:pos="4153"/>
        <w:tab w:val="right" w:pos="8306"/>
      </w:tabs>
    </w:pPr>
  </w:style>
  <w:style w:type="paragraph" w:styleId="FootnoteText" w:customStyle="1">
    <w:name w:val="Footnote Text"/>
    <w:uiPriority w:val="99"/>
    <w:semiHidden/>
    <w:unhideWhenUsed/>
    <w:pPr>
      <w:spacing w:after="40"/>
    </w:pPr>
    <w:rPr>
      <w:sz w:val="18"/>
    </w:rPr>
  </w:style>
  <w:style w:type="paragraph" w:styleId="TOC1" w:customStyle="1">
    <w:name w:val="TOC 1"/>
    <w:uiPriority w:val="39"/>
    <w:unhideWhenUsed/>
    <w:pPr>
      <w:spacing w:after="57"/>
    </w:pPr>
    <w:rPr>
      <w:szCs w:val="22"/>
      <w:lang w:eastAsia="en-US" w:bidi="en-US"/>
    </w:rPr>
  </w:style>
  <w:style w:type="paragraph" w:styleId="TOC2" w:customStyle="1">
    <w:name w:val="TOC 2"/>
    <w:uiPriority w:val="39"/>
    <w:unhideWhenUsed/>
    <w:pPr>
      <w:spacing w:after="57"/>
      <w:ind w:left="283"/>
    </w:pPr>
    <w:rPr>
      <w:szCs w:val="22"/>
      <w:lang w:eastAsia="en-US" w:bidi="en-US"/>
    </w:rPr>
  </w:style>
  <w:style w:type="paragraph" w:styleId="TOC3" w:customStyle="1">
    <w:name w:val="TOC 3"/>
    <w:uiPriority w:val="39"/>
    <w:unhideWhenUsed/>
    <w:pPr>
      <w:spacing w:after="57"/>
      <w:ind w:left="567"/>
    </w:pPr>
    <w:rPr>
      <w:szCs w:val="22"/>
      <w:lang w:eastAsia="en-US" w:bidi="en-US"/>
    </w:rPr>
  </w:style>
  <w:style w:type="paragraph" w:styleId="TOC4" w:customStyle="1">
    <w:name w:val="TOC 4"/>
    <w:uiPriority w:val="39"/>
    <w:unhideWhenUsed/>
    <w:pPr>
      <w:spacing w:after="57"/>
      <w:ind w:left="850"/>
    </w:pPr>
    <w:rPr>
      <w:szCs w:val="22"/>
      <w:lang w:eastAsia="en-US" w:bidi="en-US"/>
    </w:rPr>
  </w:style>
  <w:style w:type="paragraph" w:styleId="TOC5" w:customStyle="1">
    <w:name w:val="TOC 5"/>
    <w:uiPriority w:val="39"/>
    <w:unhideWhenUsed/>
    <w:pPr>
      <w:spacing w:after="57"/>
      <w:ind w:left="1134"/>
    </w:pPr>
    <w:rPr>
      <w:szCs w:val="22"/>
      <w:lang w:eastAsia="en-US" w:bidi="en-US"/>
    </w:rPr>
  </w:style>
  <w:style w:type="paragraph" w:styleId="TOC6" w:customStyle="1">
    <w:name w:val="TOC 6"/>
    <w:uiPriority w:val="39"/>
    <w:unhideWhenUsed/>
    <w:pPr>
      <w:spacing w:after="57"/>
      <w:ind w:left="1417"/>
    </w:pPr>
    <w:rPr>
      <w:szCs w:val="22"/>
      <w:lang w:eastAsia="en-US" w:bidi="en-US"/>
    </w:rPr>
  </w:style>
  <w:style w:type="paragraph" w:styleId="TOC7" w:customStyle="1">
    <w:name w:val="TOC 7"/>
    <w:uiPriority w:val="39"/>
    <w:unhideWhenUsed/>
    <w:pPr>
      <w:spacing w:after="57"/>
      <w:ind w:left="1701"/>
    </w:pPr>
    <w:rPr>
      <w:szCs w:val="22"/>
      <w:lang w:eastAsia="en-US" w:bidi="en-US"/>
    </w:rPr>
  </w:style>
  <w:style w:type="paragraph" w:styleId="TOC8" w:customStyle="1">
    <w:name w:val="TOC 8"/>
    <w:uiPriority w:val="39"/>
    <w:unhideWhenUsed/>
    <w:pPr>
      <w:spacing w:after="57"/>
      <w:ind w:left="1984"/>
    </w:pPr>
    <w:rPr>
      <w:szCs w:val="22"/>
      <w:lang w:eastAsia="en-US" w:bidi="en-US"/>
    </w:rPr>
  </w:style>
  <w:style w:type="paragraph" w:styleId="TOC9" w:customStyle="1">
    <w:name w:val="TOC 9"/>
    <w:uiPriority w:val="39"/>
    <w:unhideWhenUsed/>
    <w:pPr>
      <w:spacing w:after="57"/>
      <w:ind w:left="2268"/>
    </w:pPr>
    <w:rPr>
      <w:szCs w:val="22"/>
      <w:lang w:eastAsia="en-US" w:bidi="en-US"/>
    </w:rPr>
  </w:style>
  <w:style w:type="paragraph" w:styleId="af7">
    <w:name w:val="TOC Heading"/>
    <w:uiPriority w:val="39"/>
    <w:unhideWhenUsed/>
    <w:qFormat/>
    <w:rPr>
      <w:szCs w:val="22"/>
      <w:lang w:eastAsia="en-US" w:bidi="en-US"/>
    </w:rPr>
  </w:style>
  <w:style w:type="paragraph" w:styleId="af8">
    <w:name w:val="caption"/>
    <w:basedOn w:val="a"/>
    <w:next w:val="a"/>
    <w:qFormat/>
    <w:pPr>
      <w:jc w:val="center"/>
    </w:pPr>
    <w:rPr>
      <w:b/>
      <w:sz w:val="28"/>
    </w:rPr>
  </w:style>
  <w:style w:type="paragraph" w:styleId="22">
    <w:name w:val="Body Text 2"/>
    <w:basedOn w:val="a"/>
    <w:qFormat/>
    <w:pPr>
      <w:spacing w:before="120"/>
      <w:ind w:right="5102"/>
      <w:jc w:val="center"/>
    </w:pPr>
  </w:style>
  <w:style w:type="paragraph" w:styleId="af9" w:customStyle="1">
    <w:name w:val="Обращение"/>
    <w:basedOn w:val="a"/>
    <w:next w:val="a"/>
    <w:qFormat/>
    <w:pPr>
      <w:spacing w:before="240" w:after="120"/>
      <w:jc w:val="center"/>
    </w:pPr>
    <w:rPr>
      <w:b/>
    </w:rPr>
  </w:style>
  <w:style w:type="paragraph" w:styleId="afa" w:customStyle="1">
    <w:name w:val="Адресные реквизиты"/>
    <w:basedOn w:val="ae"/>
    <w:next w:val="ae"/>
    <w:qFormat/>
    <w:pPr>
      <w:jc w:val="left"/>
    </w:pPr>
    <w:rPr>
      <w:sz w:val="16"/>
    </w:rPr>
  </w:style>
  <w:style w:type="paragraph" w:styleId="afb" w:customStyle="1">
    <w:name w:val="Адресат"/>
    <w:basedOn w:val="a"/>
    <w:qFormat/>
    <w:pPr>
      <w:spacing w:before="120"/>
    </w:pPr>
    <w:rPr>
      <w:b/>
    </w:rPr>
  </w:style>
  <w:style w:type="paragraph" w:styleId="30">
    <w:name w:val="Body Text 3"/>
    <w:basedOn w:val="a"/>
    <w:qFormat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uiPriority w:val="99"/>
    <w:semiHidden/>
    <w:unhideWhenUsed/>
    <w:qFormat/>
    <w:rPr>
      <w:rFonts w:ascii="Tahoma" w:hAnsi="Tahoma"/>
      <w:sz w:val="16"/>
      <w:szCs w:val="16"/>
      <w:lang w:bidi="ar-SA"/>
    </w:rPr>
  </w:style>
  <w:style w:type="paragraph" w:styleId="ConsPlusNormal" w:customStyle="1">
    <w:name w:val="ConsPlusNormal"/>
    <w:qFormat/>
    <w:pPr>
      <w:widowControl w:val="off"/>
    </w:pPr>
    <w:rPr>
      <w:rFonts w:ascii="Calibri" w:hAnsi="Calibri" w:cs="Calibri"/>
      <w:sz w:val="22"/>
    </w:rPr>
  </w:style>
  <w:style w:type="paragraph" w:styleId="afd">
    <w:name w:val="Body Text Indent"/>
    <w:basedOn w:val="a"/>
    <w:uiPriority w:val="99"/>
    <w:semiHidden/>
    <w:unhideWhenUsed/>
    <w:pPr>
      <w:spacing w:after="120"/>
      <w:ind w:left="283"/>
    </w:pPr>
  </w:style>
  <w:style w:type="paragraph" w:styleId="afe" w:customStyle="1">
    <w:name w:val="Содержимое таблицы"/>
    <w:basedOn w:val="a"/>
    <w:qFormat/>
    <w:pPr>
      <w:suppressLineNumbers/>
    </w:pPr>
  </w:style>
  <w:style w:type="paragraph" w:styleId="aff" w:customStyle="1">
    <w:name w:val="Заголовок таблицы"/>
    <w:basedOn w:val="afe"/>
    <w:qFormat/>
    <w:pPr>
      <w:jc w:val="center"/>
    </w:pPr>
    <w:rPr>
      <w:b/>
      <w:bCs/>
    </w:rPr>
  </w:style>
  <w:style w:type="paragraph" w:styleId="aff0" w:customStyle="1">
    <w:name w:val="Исполнитель"/>
    <w:basedOn w:val="a"/>
    <w:qFormat/>
  </w:style>
  <w:style w:type="paragraph" w:styleId="31" w:customStyle="1">
    <w:name w:val="Основной текст3"/>
    <w:basedOn w:val="a"/>
    <w:qFormat/>
    <w:pPr>
      <w:shd w:val="clear" w:color="auto" w:fill="ffffff"/>
      <w:spacing w:before="480" w:after="480"/>
      <w:ind w:hanging="940"/>
      <w:jc w:val="center"/>
    </w:pPr>
    <w:rPr>
      <w:sz w:val="27"/>
      <w:szCs w:val="27"/>
    </w:rPr>
  </w:style>
  <w:style w:type="paragraph" w:styleId="ClassyRed1LTGliederung1" w:customStyle="1">
    <w:name w:val="Classy_Red1~LT~Gliederung 1"/>
    <w:qFormat/>
    <w:pPr>
      <w:widowControl w:val="off"/>
      <w:spacing w:after="283"/>
    </w:pPr>
    <w:rPr>
      <w:rFonts w:ascii="Liberation Sans" w:hAnsi="Liberation Sans" w:eastAsia="Tahoma" w:cs="Calibri"/>
      <w:sz w:val="64"/>
      <w:szCs w:val="24"/>
    </w:rPr>
  </w:style>
  <w:style w:type="table" w:styleId="aff1">
    <w:name w:val="Table Grid"/>
    <w:uiPriority w:val="59"/>
    <w:rPr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PlainTable1" w:customStyle="1">
    <w:name w:val="Plain Table 1"/>
    <w:uiPriority w:val="59"/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PlainTable2" w:customStyle="1">
    <w:name w:val="Plain Table 2"/>
    <w:uiPriority w:val="59"/>
    <w:rPr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PlainTable3" w:customStyle="1">
    <w:name w:val="Plain Table 3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PlainTable4" w:customStyle="1">
    <w:name w:val="Plain Table 4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PlainTable5" w:customStyle="1">
    <w:name w:val="Plain Table 5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" w:customStyle="1">
    <w:name w:val="Grid Table 1 Light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" w:customStyle="1">
    <w:name w:val="Grid Table 2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" w:customStyle="1">
    <w:name w:val="Grid Table 3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" w:customStyle="1">
    <w:name w:val="Grid Table 4"/>
    <w:uiPriority w:val="5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" w:customStyle="1">
    <w:name w:val="Grid Table 5 Dark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" w:customStyle="1">
    <w:name w:val="Grid Table 6 Colorful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" w:customStyle="1">
    <w:name w:val="Grid Table 7 Colorful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" w:customStyle="1">
    <w:name w:val="List Table 1 Light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2" w:customStyle="1">
    <w:name w:val="List Table 2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" w:customStyle="1">
    <w:name w:val="List Table 3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" w:customStyle="1">
    <w:name w:val="List Table 4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" w:customStyle="1">
    <w:name w:val="List Table 5 Dark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" w:customStyle="1">
    <w:name w:val="List Table 6 Colorful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" w:customStyle="1">
    <w:name w:val="List Table 7 Colorful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footer" Target="footer1.xml" /><Relationship Id="rId15" Type="http://schemas.openxmlformats.org/officeDocument/2006/relationships/footer" Target="footer2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footer" Target="footer5.xml" /><Relationship Id="rId19" Type="http://schemas.openxmlformats.org/officeDocument/2006/relationships/hyperlink" Target="consultantplus://offline/ref=4238496C876AC9DA00C459C7D5287E91246548B6D70E019B42264588A62875E" TargetMode="External"/><Relationship Id="rId2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8" Type="http://schemas.openxmlformats.org/officeDocument/2006/relationships/hyperlink" Target="consultantplus://offline/ref=6CA2DE0666704A00C210EE9BF5BAD5FAED1A0FFF8DD6BB48EDCB9D5B2A12B00B0C2785C45B6C5EF7F19C74DC02711ED2C6BD93B1Z1q1D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er5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haracters>24297</Characters>
  <CharactersWithSpaces>28502</CharactersWithSpaces>
  <Company/>
  <DocSecurity>0</DocSecurity>
  <HyperlinksChanged>false</HyperlinksChanged>
  <Lines>202</Lines>
  <LinksUpToDate>false</LinksUpToDate>
  <Pages>11</Pages>
  <Paragraphs>57</Paragraphs>
  <ScaleCrop>false</ScaleCrop>
  <SharedDoc>false</SharedDoc>
  <Template>Normal</Template>
  <TotalTime>107</TotalTime>
  <Words>4262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</dc:creator>
  <dc:description/>
  <dc:language>ru-RU</dc:language>
  <cp:lastModifiedBy>arh1</cp:lastModifiedBy>
  <cp:revision>18</cp:revision>
  <cp:lastPrinted>2023-11-16T16:51:00Z</cp:lastPrinted>
  <dcterms:created xsi:type="dcterms:W3CDTF">2021-03-15T06:10:00Z</dcterms:created>
  <dcterms:modified xsi:type="dcterms:W3CDTF">2024-09-30T08:09:00Z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