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header3.xml" ContentType="application/vnd.openxmlformats-officedocument.wordprocessingml.header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6237"/>
        <w:gridCol w:w="1701"/>
      </w:tblGrid>
      <w:tr>
        <w:trPr/>
        <w:tc>
          <w:tcPr>
            <w:tcW w:w="1701" w:type="dxa"/>
            <w:textDirection w:val="lrTb"/>
            <w:noWrap w:val="false"/>
          </w:tcPr>
          <w:p>
            <w:pPr>
              <w:pStyle w:val="901"/>
              <w:ind w:right="0"/>
              <w:jc w:val="lef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/>
          </w:p>
        </w:tc>
        <w:tc>
          <w:tcPr>
            <w:tcBorders>
              <w:bottom w:val="none" w:color="000000" w:sz="4" w:space="0"/>
            </w:tcBorders>
            <w:tcMar>
              <w:left w:w="0" w:type="auto"/>
              <w:top w:w="0" w:type="auto"/>
              <w:right w:w="85" w:type="dxa"/>
              <w:bottom w:w="0" w:type="auto"/>
            </w:tcMar>
            <w:tcW w:w="6237" w:type="dxa"/>
            <w:textDirection w:val="lrTb"/>
            <w:noWrap w:val="false"/>
          </w:tcPr>
          <w:p>
            <w:pPr>
              <w:pStyle w:val="901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 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01"/>
              <w:ind w:right="0"/>
              <w:jc w:val="lef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/>
          </w:p>
        </w:tc>
      </w:tr>
    </w:tbl>
    <w:p>
      <w:pPr>
        <w:pStyle w:val="908"/>
        <w:jc w:val="center"/>
        <w:spacing w:before="482" w:beforeAutospacing="0"/>
      </w:pPr>
      <w:r>
        <w:rPr>
          <w:rFonts w:ascii="PT Astra Serif" w:hAnsi="PT Astra Serif" w:eastAsia="PT Astra Serif" w:cs="PT Astra Serif"/>
          <w:sz w:val="28"/>
          <w:szCs w:val="26"/>
        </w:rPr>
        <w:t xml:space="preserve">Об утверждении программы профилактики рисков причинения вреда (ущерба)</w:t>
      </w:r>
      <w:r>
        <w:rPr>
          <w:rFonts w:ascii="PT Astra Serif" w:hAnsi="PT Astra Serif" w:eastAsia="PT Astra Serif" w:cs="PT Astra Serif"/>
          <w:sz w:val="28"/>
          <w:szCs w:val="26"/>
        </w:rPr>
      </w:r>
      <w:r/>
    </w:p>
    <w:p>
      <w:pPr>
        <w:pStyle w:val="908"/>
        <w:jc w:val="center"/>
        <w:rPr>
          <w:rFonts w:ascii="PT Astra Serif" w:hAnsi="PT Astra Serif" w:eastAsia="PT Astra Serif" w:cs="PT Astra Serif"/>
          <w:szCs w:val="28"/>
        </w:rPr>
      </w:pPr>
      <w:r>
        <w:rPr>
          <w:rFonts w:ascii="PT Astra Serif" w:hAnsi="PT Astra Serif" w:eastAsia="PT Astra Serif" w:cs="PT Astra Serif"/>
          <w:sz w:val="28"/>
          <w:szCs w:val="26"/>
        </w:rPr>
        <w:t xml:space="preserve">охраняемым законом ценностям на 2025 год </w:t>
      </w:r>
      <w:r>
        <w:rPr>
          <w:rFonts w:ascii="PT Astra Serif" w:hAnsi="PT Astra Serif" w:eastAsia="PT Astra Serif" w:cs="PT Astra Serif"/>
          <w:sz w:val="28"/>
          <w:szCs w:val="26"/>
        </w:rPr>
      </w:r>
      <w:r/>
    </w:p>
    <w:p>
      <w:pPr>
        <w:pStyle w:val="908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/>
    </w:p>
    <w:p>
      <w:pPr>
        <w:pStyle w:val="908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/>
    </w:p>
    <w:p>
      <w:pPr>
        <w:ind w:firstLine="737"/>
        <w:jc w:val="both"/>
      </w:pPr>
      <w:r>
        <w:rPr>
          <w:rFonts w:ascii="PT Astra Serif" w:hAnsi="PT Astra Serif" w:eastAsia="PT Astra Serif" w:cs="PT Astra Serif"/>
          <w:sz w:val="28"/>
          <w:szCs w:val="26"/>
        </w:rPr>
        <w:t xml:space="preserve">1. </w:t>
      </w:r>
      <w:r>
        <w:rPr>
          <w:rFonts w:ascii="PT Astra Serif" w:hAnsi="PT Astra Serif" w:eastAsia="PT Astra Serif" w:cs="PT Astra Serif"/>
          <w:sz w:val="28"/>
          <w:szCs w:val="26"/>
        </w:rPr>
        <w:t xml:space="preserve">В соответствии с </w:t>
      </w:r>
      <w:r>
        <w:rPr>
          <w:rFonts w:ascii="PT Astra Serif" w:hAnsi="PT Astra Serif" w:eastAsia="PT Astra Serif" w:cs="PT Astra Serif"/>
          <w:sz w:val="28"/>
          <w:szCs w:val="26"/>
        </w:rPr>
        <w:t xml:space="preserve">Федеральным законом</w:t>
      </w:r>
      <w:r>
        <w:rPr>
          <w:rFonts w:ascii="PT Astra Serif" w:hAnsi="PT Astra Serif" w:eastAsia="PT Astra Serif" w:cs="PT Astra Serif"/>
          <w:sz w:val="28"/>
          <w:szCs w:val="26"/>
        </w:rPr>
        <w:t xml:space="preserve"> от 31 июля 2020 года</w:t>
      </w:r>
      <w:r>
        <w:rPr>
          <w:rFonts w:ascii="PT Astra Serif" w:hAnsi="PT Astra Serif" w:eastAsia="PT Astra Serif" w:cs="PT Astra Serif"/>
          <w:sz w:val="28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6"/>
        </w:rPr>
        <w:br/>
        <w:t xml:space="preserve">№ 248-ФЗ </w:t>
      </w:r>
      <w:r>
        <w:rPr>
          <w:rFonts w:ascii="PT Astra Serif" w:hAnsi="PT Astra Serif" w:eastAsia="PT Astra Serif" w:cs="PT Astra Serif"/>
          <w:sz w:val="28"/>
          <w:szCs w:val="26"/>
        </w:rPr>
        <w:t xml:space="preserve">«О государственном контроле (надзоре) и муниципальном конт</w:t>
      </w:r>
      <w:r>
        <w:rPr>
          <w:rFonts w:ascii="PT Astra Serif" w:hAnsi="PT Astra Serif" w:eastAsia="PT Astra Serif" w:cs="PT Astra Serif"/>
          <w:sz w:val="28"/>
          <w:szCs w:val="26"/>
        </w:rPr>
        <w:t xml:space="preserve">роле в Российской Федерации» и п</w:t>
      </w:r>
      <w:r>
        <w:rPr>
          <w:rFonts w:ascii="PT Astra Serif" w:hAnsi="PT Astra Serif" w:eastAsia="PT Astra Serif" w:cs="PT Astra Serif"/>
          <w:sz w:val="28"/>
          <w:szCs w:val="26"/>
        </w:rPr>
        <w:t xml:space="preserve">остановлением Правительства Российской Федерации </w:t>
      </w:r>
      <w:r>
        <w:rPr>
          <w:rFonts w:ascii="PT Astra Serif" w:hAnsi="PT Astra Serif" w:eastAsia="PT Astra Serif" w:cs="PT Astra Serif"/>
          <w:sz w:val="28"/>
          <w:szCs w:val="26"/>
        </w:rPr>
        <w:t xml:space="preserve">от 25 июня 2021 года № 990 «Об утверждении Правил разработки </w:t>
        <w:br/>
        <w:t xml:space="preserve">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>
        <w:rPr>
          <w:rFonts w:ascii="PT Astra Serif" w:hAnsi="PT Astra Serif" w:eastAsia="PT Astra Serif" w:cs="PT Astra Serif"/>
          <w:sz w:val="28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6"/>
        </w:rPr>
        <w:t xml:space="preserve">у</w:t>
      </w:r>
      <w:r>
        <w:rPr>
          <w:rFonts w:ascii="PT Astra Serif" w:hAnsi="PT Astra Serif" w:eastAsia="PT Astra Serif" w:cs="PT Astra Serif"/>
          <w:sz w:val="28"/>
          <w:szCs w:val="26"/>
        </w:rPr>
        <w:t xml:space="preserve">твердить П</w:t>
      </w:r>
      <w:r>
        <w:rPr>
          <w:rFonts w:ascii="PT Astra Serif" w:hAnsi="PT Astra Serif" w:eastAsia="PT Astra Serif" w:cs="PT Astra Serif"/>
          <w:sz w:val="28"/>
          <w:szCs w:val="26"/>
        </w:rPr>
        <w:t xml:space="preserve">рограмму профилактики рисков причинения вреда (ущерба) охраняемым законом це</w:t>
      </w:r>
      <w:r>
        <w:rPr>
          <w:rFonts w:ascii="PT Astra Serif" w:hAnsi="PT Astra Serif" w:eastAsia="PT Astra Serif" w:cs="PT Astra Serif"/>
          <w:sz w:val="28"/>
          <w:szCs w:val="26"/>
        </w:rPr>
        <w:t xml:space="preserve">нностям</w:t>
      </w:r>
      <w:r>
        <w:rPr>
          <w:rFonts w:ascii="PT Astra Serif" w:hAnsi="PT Astra Serif" w:eastAsia="PT Astra Serif" w:cs="PT Astra Serif"/>
          <w:sz w:val="28"/>
          <w:szCs w:val="26"/>
        </w:rPr>
        <w:t xml:space="preserve"> на 2025 год согласно приложению </w:t>
        <w:br/>
        <w:t xml:space="preserve">к настоящему распоряжению</w:t>
      </w:r>
      <w:r>
        <w:rPr>
          <w:rFonts w:ascii="PT Astra Serif" w:hAnsi="PT Astra Serif" w:eastAsia="PT Astra Serif" w:cs="PT Astra Serif"/>
          <w:sz w:val="28"/>
          <w:szCs w:val="26"/>
        </w:rPr>
        <w:t xml:space="preserve">.</w:t>
      </w:r>
      <w:r>
        <w:rPr>
          <w:rFonts w:ascii="PT Astra Serif" w:hAnsi="PT Astra Serif" w:eastAsia="PT Astra Serif" w:cs="PT Astra Serif"/>
          <w:sz w:val="28"/>
          <w:szCs w:val="26"/>
        </w:rPr>
      </w:r>
      <w:r/>
    </w:p>
    <w:p>
      <w:pPr>
        <w:ind w:left="0" w:right="0" w:firstLine="709"/>
        <w:jc w:val="both"/>
      </w:pPr>
      <w:r>
        <w:rPr>
          <w:rFonts w:ascii="PT Astra Serif" w:hAnsi="PT Astra Serif" w:eastAsia="PT Astra Serif" w:cs="PT Astra Serif"/>
          <w:sz w:val="28"/>
          <w:szCs w:val="26"/>
        </w:rPr>
        <w:t xml:space="preserve">2. Настоящее распоряжение вступает в силу со дня его подписания.</w:t>
      </w:r>
      <w:r>
        <w:rPr>
          <w:rFonts w:ascii="PT Astra Serif" w:hAnsi="PT Astra Serif" w:eastAsia="PT Astra Serif" w:cs="PT Astra Serif"/>
          <w:sz w:val="28"/>
          <w:szCs w:val="26"/>
        </w:rPr>
      </w:r>
      <w:r/>
    </w:p>
    <w:p>
      <w:pPr>
        <w:ind w:left="0" w:right="0" w:firstLine="709"/>
        <w:jc w:val="both"/>
      </w:pPr>
      <w:r>
        <w:rPr>
          <w:rFonts w:ascii="PT Astra Serif" w:hAnsi="PT Astra Serif" w:eastAsia="PT Astra Serif" w:cs="PT Astra Serif"/>
          <w:sz w:val="28"/>
          <w:szCs w:val="26"/>
        </w:rPr>
        <w:t xml:space="preserve">3. </w:t>
      </w:r>
      <w:r>
        <w:rPr>
          <w:rFonts w:ascii="PT Astra Serif" w:hAnsi="PT Astra Serif" w:eastAsia="PT Astra Serif" w:cs="PT Astra Serif"/>
          <w:sz w:val="28"/>
          <w:szCs w:val="26"/>
        </w:rPr>
        <w:t xml:space="preserve">Контроль за</w:t>
      </w:r>
      <w:r>
        <w:rPr>
          <w:rFonts w:ascii="PT Astra Serif" w:hAnsi="PT Astra Serif" w:eastAsia="PT Astra Serif" w:cs="PT Astra Serif"/>
          <w:sz w:val="28"/>
          <w:szCs w:val="26"/>
        </w:rPr>
        <w:t xml:space="preserve"> исполнением настоящего распоряжения</w:t>
      </w:r>
      <w:r>
        <w:rPr>
          <w:rFonts w:ascii="PT Astra Serif" w:hAnsi="PT Astra Serif" w:eastAsia="PT Astra Serif" w:cs="PT Astra Serif"/>
          <w:sz w:val="28"/>
          <w:szCs w:val="26"/>
        </w:rPr>
        <w:t xml:space="preserve"> оставляю </w:t>
        <w:br/>
        <w:t xml:space="preserve">за собой</w:t>
      </w:r>
      <w:r>
        <w:rPr>
          <w:rFonts w:ascii="PT Astra Serif" w:hAnsi="PT Astra Serif" w:eastAsia="PT Astra Serif" w:cs="PT Astra Serif"/>
          <w:sz w:val="28"/>
          <w:szCs w:val="26"/>
        </w:rPr>
        <w:t xml:space="preserve">.</w:t>
      </w:r>
      <w:r>
        <w:rPr>
          <w:rFonts w:ascii="PT Astra Serif" w:hAnsi="PT Astra Serif" w:eastAsia="PT Astra Serif" w:cs="PT Astra Serif"/>
          <w:sz w:val="28"/>
          <w:szCs w:val="26"/>
        </w:rPr>
      </w:r>
      <w:r/>
    </w:p>
    <w:p>
      <w:pPr>
        <w:ind w:firstLine="737"/>
        <w:jc w:val="both"/>
      </w:pPr>
      <w:r>
        <w:rPr>
          <w:rFonts w:ascii="PT Astra Serif" w:hAnsi="PT Astra Serif" w:eastAsia="PT Astra Serif" w:cs="PT Astra Serif"/>
          <w:sz w:val="28"/>
          <w:szCs w:val="26"/>
        </w:rPr>
      </w:r>
      <w:r>
        <w:rPr>
          <w:rFonts w:ascii="PT Astra Serif" w:hAnsi="PT Astra Serif" w:eastAsia="PT Astra Serif" w:cs="PT Astra Serif"/>
          <w:sz w:val="28"/>
          <w:szCs w:val="26"/>
        </w:rPr>
      </w:r>
      <w:r/>
    </w:p>
    <w:p>
      <w:r>
        <w:rPr>
          <w:rFonts w:ascii="PT Astra Serif" w:hAnsi="PT Astra Serif" w:eastAsia="PT Astra Serif" w:cs="PT Astra Serif"/>
          <w:sz w:val="28"/>
          <w:szCs w:val="26"/>
        </w:rPr>
      </w:r>
      <w:r>
        <w:rPr>
          <w:rFonts w:ascii="PT Astra Serif" w:hAnsi="PT Astra Serif" w:eastAsia="PT Astra Serif" w:cs="PT Astra Serif"/>
          <w:sz w:val="28"/>
          <w:szCs w:val="26"/>
        </w:rPr>
      </w:r>
      <w:r/>
    </w:p>
    <w:p>
      <w:r>
        <w:rPr>
          <w:rFonts w:ascii="PT Astra Serif" w:hAnsi="PT Astra Serif" w:eastAsia="PT Astra Serif" w:cs="PT Astra Serif"/>
          <w:sz w:val="28"/>
          <w:szCs w:val="26"/>
        </w:rPr>
      </w:r>
      <w:r>
        <w:rPr>
          <w:rFonts w:ascii="PT Astra Serif" w:hAnsi="PT Astra Serif" w:eastAsia="PT Astra Serif" w:cs="PT Astra Serif"/>
          <w:sz w:val="28"/>
          <w:szCs w:val="26"/>
        </w:rPr>
      </w:r>
      <w:r/>
    </w:p>
    <w:p>
      <w:pPr>
        <w:pStyle w:val="908"/>
        <w:ind w:firstLine="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6"/>
        </w:rPr>
        <w:t xml:space="preserve">И.о. начальника Департамента</w:t>
      </w:r>
      <w:r>
        <w:rPr>
          <w:rFonts w:ascii="PT Astra Serif" w:hAnsi="PT Astra Serif" w:eastAsia="PT Astra Serif" w:cs="PT Astra Serif"/>
          <w:sz w:val="28"/>
          <w:szCs w:val="26"/>
        </w:rPr>
        <w:tab/>
      </w:r>
      <w:r>
        <w:rPr>
          <w:rFonts w:ascii="PT Astra Serif" w:hAnsi="PT Astra Serif" w:eastAsia="PT Astra Serif" w:cs="PT Astra Serif"/>
          <w:sz w:val="28"/>
          <w:szCs w:val="26"/>
        </w:rPr>
        <w:tab/>
      </w:r>
      <w:r>
        <w:rPr>
          <w:rFonts w:ascii="PT Astra Serif" w:hAnsi="PT Astra Serif" w:eastAsia="PT Astra Serif" w:cs="PT Astra Serif"/>
          <w:sz w:val="28"/>
          <w:szCs w:val="26"/>
        </w:rPr>
        <w:tab/>
        <w:tab/>
        <w:t xml:space="preserve">               </w:t>
      </w:r>
      <w:r>
        <w:rPr>
          <w:rFonts w:ascii="PT Astra Serif" w:hAnsi="PT Astra Serif" w:eastAsia="PT Astra Serif" w:cs="PT Astra Serif"/>
          <w:sz w:val="28"/>
          <w:szCs w:val="26"/>
        </w:rPr>
        <w:t xml:space="preserve">         Е.М.</w:t>
      </w:r>
      <w:r>
        <w:rPr>
          <w:rFonts w:ascii="PT Astra Serif" w:hAnsi="PT Astra Serif" w:eastAsia="PT Astra Serif" w:cs="PT Astra Serif"/>
          <w:sz w:val="28"/>
          <w:szCs w:val="26"/>
        </w:rPr>
        <w:t xml:space="preserve"> Шагова</w:t>
      </w:r>
      <w:r/>
      <w:r/>
      <w:r>
        <w:rPr>
          <w:rFonts w:ascii="PT Astra Serif" w:hAnsi="PT Astra Serif" w:cs="Times New Roman"/>
          <w:sz w:val="28"/>
          <w:szCs w:val="28"/>
        </w:rPr>
      </w:r>
      <w:r/>
    </w:p>
    <w:p>
      <w:pPr>
        <w:pStyle w:val="908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/>
    </w:p>
    <w:p>
      <w:pPr>
        <w:pStyle w:val="908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18"/>
          <w:szCs w:val="18"/>
          <w:highlight w:val="none"/>
        </w:rPr>
      </w:pPr>
      <w:r>
        <w:rPr>
          <w:rFonts w:ascii="PT Astra Serif" w:hAnsi="PT Astra Serif" w:eastAsia="PT Astra Serif" w:cs="PT Astra Serif"/>
          <w:sz w:val="18"/>
          <w:szCs w:val="18"/>
        </w:rPr>
        <w:fldChar w:fldCharType="begin"/>
      </w:r>
      <w:r>
        <w:rPr>
          <w:rFonts w:ascii="PT Astra Serif" w:hAnsi="PT Astra Serif" w:eastAsia="PT Astra Serif" w:cs="PT Astra Serif"/>
          <w:sz w:val="18"/>
          <w:szCs w:val="18"/>
        </w:rPr>
        <w:instrText xml:space="preserve"> FILENAME </w:instrText>
      </w:r>
      <w:r>
        <w:rPr>
          <w:rFonts w:ascii="PT Astra Serif" w:hAnsi="PT Astra Serif" w:eastAsia="PT Astra Serif" w:cs="PT Astra Serif"/>
          <w:sz w:val="18"/>
          <w:szCs w:val="18"/>
        </w:rPr>
        <w:fldChar w:fldCharType="separate"/>
        <w:t xml:space="preserve">Беськаев А.А.</w:t>
      </w:r>
      <w:r>
        <w:rPr>
          <w:rFonts w:ascii="PT Astra Serif" w:hAnsi="PT Astra Serif"/>
          <w:sz w:val="18"/>
          <w:szCs w:val="18"/>
        </w:rPr>
        <w:t xml:space="preserve"> </w:t>
      </w:r>
      <w:r>
        <w:rPr>
          <w:rFonts w:ascii="PT Astra Serif" w:hAnsi="PT Astra Serif" w:eastAsia="PT Astra Serif" w:cs="PT Astra Serif"/>
          <w:sz w:val="18"/>
          <w:szCs w:val="18"/>
        </w:rPr>
        <w:fldChar w:fldCharType="end"/>
      </w:r>
      <w:r/>
    </w:p>
    <w:p>
      <w:pPr>
        <w:pStyle w:val="908"/>
        <w:ind w:left="5669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Приложение к распоряжению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pStyle w:val="908"/>
        <w:ind w:left="5669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Департамента по культуре Томской области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pStyle w:val="908"/>
        <w:ind w:left="5669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от _______________№_________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pStyle w:val="908"/>
        <w:ind w:left="5669"/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pStyle w:val="908"/>
        <w:ind w:left="5669"/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center"/>
        <w:widowControl w:val="off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Программа профилактики рисков причинения вреда (ущерба)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center"/>
        <w:widowControl w:val="off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охраняемым законом ценностям на 2025 год 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pStyle w:val="908"/>
        <w:jc w:val="center"/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pStyle w:val="908"/>
        <w:jc w:val="center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Общие положения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pStyle w:val="908"/>
        <w:ind w:firstLine="851"/>
        <w:jc w:val="center"/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pStyle w:val="908"/>
        <w:ind w:firstLine="851"/>
        <w:jc w:val="both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Настоящая </w:t>
      </w:r>
      <w:bookmarkStart w:id="0" w:name="undefined"/>
      <w:r>
        <w:rPr>
          <w:rFonts w:ascii="PT Astra Serif" w:hAnsi="PT Astra Serif" w:eastAsia="PT Astra Serif" w:cs="PT Astra Serif"/>
        </w:rPr>
      </w:r>
      <w:bookmarkEnd w:id="0"/>
      <w:r>
        <w:rPr>
          <w:rFonts w:ascii="PT Astra Serif" w:hAnsi="PT Astra Serif" w:eastAsia="PT Astra Serif" w:cs="PT Astra Serif"/>
          <w:sz w:val="26"/>
          <w:szCs w:val="26"/>
        </w:rPr>
        <w:t xml:space="preserve">программа профил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актики рисков причинения вреда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(ущерба) охраняемым законом ценностям на 2025 год</w:t>
      </w:r>
      <w:bookmarkStart w:id="0" w:name="undefined"/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bookmarkEnd w:id="0"/>
      <w:r>
        <w:rPr>
          <w:rFonts w:ascii="PT Astra Serif" w:hAnsi="PT Astra Serif" w:eastAsia="PT Astra Serif" w:cs="PT Astra Serif"/>
          <w:sz w:val="26"/>
          <w:szCs w:val="26"/>
        </w:rPr>
        <w:t xml:space="preserve">(далее – Программа), разработана </w:t>
        <w:br/>
        <w:t xml:space="preserve">в целях предупреждения нарушения 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государственными музеями, находящимися </w:t>
        <w:br/>
        <w:t xml:space="preserve">в ведении Томской области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(далее – контролируемые лица) 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в собственности, оперативном управлении или пользовании которых находятся музейные предметы </w:t>
        <w:br/>
        <w:t xml:space="preserve">и музейные коллекции, установленных Федеральным законом 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от 26 мая 1996 </w:t>
        <w:br/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№ 54-ФЗ «О Музейном фонде Российской Федерации и музеях в Российской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Федера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ции» и принимаемыми в соответствии с ним иными нормативными правовыми актами обязательных требований к обеспечению хранения, изучения, комплектования, учета и использования музейных предметов и музейных коллекций, включенных в состав государственной части 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Музейного фонда Российской Федерации на территории Томской области (далее -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обязательные требования)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,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соблюдение которых оценивается Департаментом по культуре Томской области (далее – Департамент) при осуществлении регионального государственного контроля (надзора) за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состоянием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Музейного фонда Российской Федерации на территории Томской области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(далее – контроль), устранения причин, факторов и условий, способствующих нарушению таких обязательных требований.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pStyle w:val="908"/>
        <w:ind w:firstLine="851"/>
        <w:jc w:val="both"/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2976"/>
        <w:gridCol w:w="6769"/>
      </w:tblGrid>
      <w:tr>
        <w:trPr/>
        <w:tc>
          <w:tcPr>
            <w:tcW w:w="2976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Правовые основания разработки П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рограммы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tcW w:w="6769" w:type="dxa"/>
            <w:textDirection w:val="lrTb"/>
            <w:noWrap w:val="false"/>
          </w:tcPr>
          <w:p>
            <w:pPr>
              <w:ind w:firstLine="284"/>
              <w:jc w:val="both"/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Федеральный Закон от 26 мая 1996 года № 54-ФЗ </w:t>
              <w:br/>
              <w:t xml:space="preserve">«О музейном фонде Российской Федерации и музеях </w:t>
              <w:br/>
              <w:t xml:space="preserve">в Российской Федерации»;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  <w:p>
            <w:pPr>
              <w:ind w:firstLine="284"/>
              <w:jc w:val="both"/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Федеральный закон от 26 декабря 2008 года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br/>
              <w:t xml:space="preserve">№ 294-ФЗ «О защите прав юридических лиц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br/>
              <w:t xml:space="preserve">и индивидуальных предпринимателей при осуществлении государственного контроля (надзора) и муниципального контроля»;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  <w:p>
            <w:pPr>
              <w:ind w:firstLine="284"/>
              <w:jc w:val="both"/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Постановление Правительства Российской Федерации от 26 декабря 2018 года № 1680 «Об утверждении общих требований к организации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униципальными правовыми актами».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  <w:p>
            <w:pPr>
              <w:ind w:firstLine="284"/>
              <w:jc w:val="both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Стандарт комплексной профилактики рисков причинения вреда охраняемым законом ценностям,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утвержденный протоколом заседания проектного комитета по основному направлению стратегического развития Российской Федерации «Реформа контрольной </w:t>
              <w:br/>
              <w:t xml:space="preserve">и надзорной деятельности» от 27 марта 2018 года № 2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W w:w="2976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Разработчик П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рограммы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tcW w:w="6769" w:type="dxa"/>
            <w:textDirection w:val="lrTb"/>
            <w:noWrap w:val="false"/>
          </w:tcPr>
          <w:p>
            <w:pPr>
              <w:ind w:firstLine="284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Департамент по культуре Томской области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W w:w="2976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Цели П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рограммы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tcW w:w="6769" w:type="dxa"/>
            <w:textDirection w:val="lrTb"/>
            <w:noWrap w:val="false"/>
          </w:tcPr>
          <w:p>
            <w:pPr>
              <w:ind w:firstLine="284"/>
              <w:jc w:val="both"/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Профилактика нарушений обязательных требований </w:t>
              <w:br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к обеспечению хранения, изучения, комплектования, учета и использования музейных предметов и музейных коллекций, включенных в состав Музейного фонда Российской Федерации на территории Томской области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, направлена на достижение следующих основных целей: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  <w:p>
            <w:pPr>
              <w:ind w:firstLine="284"/>
              <w:jc w:val="both"/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- устранение существующих и потенциальных условий, причин и факторов, способствующих возможному нарушению обязательных требований и причинению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вреда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 охраняемым законом ценностям;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  <w:p>
            <w:pPr>
              <w:ind w:firstLine="284"/>
              <w:jc w:val="both"/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- формирование моделей социально ответственного, добросовестного, правового поведения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 контролируемых лиц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, как следствие, снижение уровня ущерба охраняемым законом ценностям, сокращение нарушений обязательных требований;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  <w:p>
            <w:pPr>
              <w:ind w:firstLine="284"/>
              <w:jc w:val="both"/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- создание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инфраструктуры профилактики рисков причинения вреда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 охраняемым законом ценностям, включая разъяснения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контролируемым лицам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обязательных требований;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  <w:p>
            <w:pPr>
              <w:ind w:firstLine="284"/>
              <w:jc w:val="both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Style w:val="1_1767"/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- повышение прозрачности системы контрольно-</w:t>
            </w:r>
            <w:r>
              <w:rPr>
                <w:rStyle w:val="1_1768"/>
                <w:rFonts w:ascii="PT Astra Serif" w:hAnsi="PT Astra Serif" w:eastAsia="PT Astra Serif" w:cs="PT Astra Serif"/>
                <w:color w:val="000000"/>
                <w:sz w:val="26"/>
                <w:szCs w:val="26"/>
                <w:u w:val="none"/>
              </w:rPr>
              <w:t xml:space="preserve">надзорной деятельности.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  <w:u w:val="single"/>
                <w:shd w:val="clear" w:color="auto" w:fill="ffffff"/>
              </w:rPr>
            </w:r>
            <w:r/>
          </w:p>
        </w:tc>
      </w:tr>
      <w:tr>
        <w:trPr>
          <w:trHeight w:val="7086"/>
        </w:trPr>
        <w:tc>
          <w:tcPr>
            <w:tcW w:w="2976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Задачи П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рограммы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tcW w:w="6769" w:type="dxa"/>
            <w:textDirection w:val="lrTb"/>
            <w:noWrap w:val="false"/>
          </w:tcPr>
          <w:p>
            <w:pPr>
              <w:ind w:firstLine="284"/>
              <w:jc w:val="both"/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Для достижения указанных целей необходимо решить следующие основные задачи: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  <w:p>
            <w:pPr>
              <w:ind w:firstLine="284"/>
              <w:jc w:val="both"/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- выявление факторов риска причинения вреда охраняемым законом ценностям, причин и условий, способствующих нарушению обязательных требований, определение способов устранения или снижения рисков их возникновения;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  <w:p>
            <w:pPr>
              <w:ind w:firstLine="284"/>
              <w:jc w:val="both"/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- устранение причин, факторов и условий, способствующих возможному причинению вреда охраняемым законом ценностям и нарушению обязательны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х требований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;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  <w:p>
            <w:pPr>
              <w:ind w:firstLine="284"/>
              <w:jc w:val="both"/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- повышение уровня правовой грам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отности контролируемых лиц,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 в том числе путем обеспечения доступности информа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ции об обязательных требованиях </w:t>
              <w:br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и необходимых мерах по их исполнению;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  <w:p>
            <w:pPr>
              <w:ind w:firstLine="284"/>
              <w:jc w:val="both"/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- создание системы консультирования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 контролируемых лиц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, в том чис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ле с использованием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  <w:p>
            <w:pPr>
              <w:jc w:val="both"/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с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овременных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информационно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телекоммуникационных технологий;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  <w:p>
            <w:pPr>
              <w:ind w:firstLine="284"/>
              <w:jc w:val="both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- другие задачи в зависимости от выявленных проблем по предупреждению нарушений обязательных требований (снижению числа нарушений обязательных требований) </w:t>
              <w:br/>
              <w:t xml:space="preserve">и текущего состояния профилактической работы.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W w:w="2976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Сроки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реализации П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рограммы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tcW w:w="6769" w:type="dxa"/>
            <w:textDirection w:val="lrTb"/>
            <w:noWrap w:val="false"/>
          </w:tcPr>
          <w:p>
            <w:pPr>
              <w:ind w:firstLine="284"/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Срок реализации П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рограммы: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 2025 год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</w:tr>
      <w:tr>
        <w:trPr/>
        <w:tc>
          <w:tcPr>
            <w:tcW w:w="2976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Источник финансирования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tcW w:w="6769" w:type="dxa"/>
            <w:textDirection w:val="lrTb"/>
            <w:noWrap w:val="false"/>
          </w:tcPr>
          <w:p>
            <w:pPr>
              <w:ind w:firstLine="284"/>
              <w:jc w:val="both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Реализация Программы осуществляется в рамках текущего финансирования деятельности Департамента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W w:w="2976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Ожидаемые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конечные результаты реализации П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рограммы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tcW w:w="6769" w:type="dxa"/>
            <w:textDirection w:val="lrTb"/>
            <w:noWrap w:val="false"/>
          </w:tcPr>
          <w:p>
            <w:pPr>
              <w:ind w:firstLine="284"/>
              <w:jc w:val="both"/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Реализация данной Программы предполагает достижение следующих результатов: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  <w:p>
            <w:pPr>
              <w:ind w:firstLine="284"/>
              <w:jc w:val="both"/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- предотвращение нарушений обязательных требований и своевременное принятие мер по соблюдению обязательных требований;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  <w:p>
            <w:pPr>
              <w:ind w:firstLine="284"/>
              <w:jc w:val="both"/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- повышение прозрачности и открытости деятельности контрольно-надзорного органа;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  <w:p>
            <w:pPr>
              <w:ind w:firstLine="284"/>
              <w:jc w:val="both"/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- снижение рисков причинения вреда охраняемым законом ценностям;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  <w:p>
            <w:pPr>
              <w:ind w:firstLine="284"/>
              <w:jc w:val="both"/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- мотивация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контролируемых лиц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к добросовестному поведению.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  <w:p>
            <w:pPr>
              <w:ind w:firstLine="284"/>
              <w:jc w:val="both"/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- обеспечение единообразия понимания предмета кон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троля контролируемыми лицами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;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  <w:p>
            <w:pPr>
              <w:ind w:firstLine="284"/>
              <w:jc w:val="both"/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- повышение уровня правовой грам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отности контролируемых лиц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;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  <w:p>
            <w:pPr>
              <w:ind w:firstLine="284"/>
              <w:jc w:val="both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- внедрение различных способов профилактики.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</w:tr>
    </w:tbl>
    <w:p>
      <w:pPr>
        <w:pStyle w:val="908"/>
        <w:ind w:firstLine="851"/>
        <w:jc w:val="both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pStyle w:val="908"/>
        <w:ind w:firstLine="851"/>
        <w:jc w:val="both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Организация и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проведение профилактических мероприятий Департамента, направленных на предупреждение нарушения обязательных требований, осуществляется ответственными должностными лицами на основании соответствующего плана-графика, ежегодно разрабатываемого Департаментом.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/>
    </w:p>
    <w:p>
      <w:pPr>
        <w:pStyle w:val="908"/>
        <w:ind w:firstLine="720"/>
        <w:jc w:val="both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Департамент ежегодн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 в срок не позднее 20 января года, следующего </w:t>
        <w:br/>
        <w:t xml:space="preserve">за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отчетным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, готовит доклад об итогах профилактических работ за год. Доклад </w:t>
        <w:br/>
        <w:t xml:space="preserve">об итогах профилактической работы должен включать в себя результаты мониторинга и уровня развития Программы и эффективности и результативности профилактических мероприятий.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pStyle w:val="908"/>
        <w:ind w:firstLine="851"/>
        <w:jc w:val="both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Информация о текущих результатах профилактической работы, готовящихся и состоявшихся профилактических мероприятиях, а также Программа должны размещаться на официальном сайте Департамента.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pStyle w:val="908"/>
        <w:jc w:val="center"/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pStyle w:val="908"/>
        <w:jc w:val="center"/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pStyle w:val="908"/>
        <w:jc w:val="center"/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pStyle w:val="908"/>
        <w:jc w:val="center"/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shd w:val="nil" w:color="000000"/>
      </w:pPr>
      <w:r>
        <w:rPr>
          <w:rFonts w:ascii="PT Astra Serif" w:hAnsi="PT Astra Serif" w:eastAsia="PT Astra Serif" w:cs="PT Astra Serif"/>
          <w:sz w:val="26"/>
          <w:szCs w:val="26"/>
        </w:rPr>
        <w:br w:type="page" w:clear="all"/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pStyle w:val="908"/>
        <w:jc w:val="center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Анализ текущего состояния регионального государственного 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pStyle w:val="908"/>
        <w:jc w:val="center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контроля (надзора) за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состоянием Музейного фонда Российской Федерации </w:t>
        <w:br/>
        <w:t xml:space="preserve">на территории Томской области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 развития профилактической деятельности Департамента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ab/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ab/>
        <w:t xml:space="preserve">1. Департамент по культуре Томской области осуществляет региональный госуда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рственный контроль (надзор) за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состоянием Музейного фонда Российской Федерации на территории Томской области.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ab/>
      </w:r>
      <w:r>
        <w:rPr>
          <w:rFonts w:ascii="PT Astra Serif" w:hAnsi="PT Astra Serif" w:eastAsia="PT Astra Serif" w:cs="PT Astra Serif"/>
          <w:sz w:val="26"/>
          <w:szCs w:val="26"/>
        </w:rPr>
        <w:t xml:space="preserve">Всего под контролем (на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дзором) Департамента находятся два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областных государственных музея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ind w:firstLine="709"/>
        <w:jc w:val="both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2. 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В настоящее время профилактическая деятельность состоит в проведении профилактических и разъяснительных бесед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с контролируемыми лицами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, в целях предотвращения нарушений обязательных требований, а также направление контролируемым лицам информационно-методических материалов, преследующих своей целью повышения информированности о действующих обязательных т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ребованиях.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/>
    </w:p>
    <w:p>
      <w:pPr>
        <w:ind w:firstLine="709"/>
        <w:jc w:val="both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3. Осуществляется консультирование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(по телефону, посредством видео-конференц-связи, на личном приеме, либо в ходе проведения профилактических мероприятий, контрольного (надзорного) мероприятия)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/>
    </w:p>
    <w:p>
      <w:pPr>
        <w:ind w:firstLine="709"/>
        <w:jc w:val="both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4. 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В рамках профилактики нарушений обязательных требований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разработан Перечень нормативно-правовых актов, содержащих обязательные требования, оценка соблюдения которых является предметом контроля Департамента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обязательных требований,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в пределах компетенции, определенной законодательством Российской Федерации и Томской области.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ind w:firstLine="709"/>
        <w:jc w:val="both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5. 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Н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а официальном сайте Департамента в информационно-телекоммуникационной сети «Интернет» (далее - официальный сайт Департамента)</w:t>
      </w:r>
      <w:r>
        <w:rPr>
          <w:rFonts w:ascii="PT Astra Serif" w:hAnsi="PT Astra Serif" w:eastAsia="PT Astra Serif" w:cs="PT Astra Serif"/>
          <w:sz w:val="28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размещены актуальные нормативно-правовые акты или их отдельные части, содержащие обязательные требования, оценка соблюдения которых является предметом регионального государственного контроля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(надзора), информация </w:t>
        <w:br/>
        <w:t xml:space="preserve">о результатах контрольно-надзорных мероприятий, перечень объектов регионального государственного контроля (надзора), учитываемых в рамках формирования ежегодного плана контрольных (надзорных) мероприятий, с указанием категории риска.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ind w:left="0" w:right="0" w:firstLine="709"/>
        <w:jc w:val="both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6. 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По итогам проведенных проверок проводится мониторинг выявленных нарушений и разрабатывается перечень типовых нарушений и разъяснения </w:t>
      </w:r>
      <w:r>
        <w:rPr>
          <w:rFonts w:ascii="PT Astra Serif" w:hAnsi="PT Astra Serif" w:eastAsia="PT Astra Serif" w:cs="PT Astra Serif"/>
          <w:sz w:val="26"/>
          <w:szCs w:val="26"/>
        </w:rPr>
        <w:br/>
        <w:t xml:space="preserve">к ним, а также ежегодно проводится обобщение правоприменительной практики осуществления контроля 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обязательных требований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.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ab/>
      </w:r>
      <w:r>
        <w:rPr>
          <w:rFonts w:ascii="PT Astra Serif" w:hAnsi="PT Astra Serif" w:eastAsia="PT Astra Serif" w:cs="PT Astra Serif"/>
          <w:sz w:val="26"/>
          <w:szCs w:val="26"/>
        </w:rPr>
        <w:t xml:space="preserve">Обобщение типовых нарушений обязательных требований, с рекомендациями по недопущению таких нарушений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размещены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на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 официальном сайте Департамента.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lang w:eastAsia="ru-RU"/>
        </w:rPr>
      </w:r>
      <w:r/>
      <w:r>
        <w:rPr>
          <w:rFonts w:ascii="PT Astra Serif" w:hAnsi="PT Astra Serif" w:eastAsia="PT Astra Serif" w:cs="PT Astra Serif"/>
          <w:sz w:val="26"/>
          <w:szCs w:val="26"/>
          <w:highlight w:val="none"/>
          <w:lang w:eastAsia="ru-RU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br w:type="page" w:clear="all"/>
      </w:r>
      <w:r>
        <w:rPr>
          <w:rFonts w:ascii="PT Astra Serif" w:hAnsi="PT Astra Serif" w:eastAsia="PT Astra Serif" w:cs="PT Astra Serif"/>
          <w:sz w:val="26"/>
          <w:szCs w:val="26"/>
        </w:rPr>
      </w:r>
      <w:r/>
      <w:r>
        <w:rPr>
          <w:rFonts w:ascii="PT Astra Serif" w:hAnsi="PT Astra Serif" w:eastAsia="PT Astra Serif" w:cs="PT Astra Serif"/>
          <w:sz w:val="26"/>
          <w:szCs w:val="26"/>
          <w:highlight w:val="none"/>
          <w:lang w:eastAsia="ru-RU"/>
        </w:rPr>
      </w:r>
    </w:p>
    <w:p>
      <w:pPr>
        <w:pStyle w:val="744"/>
        <w:ind w:left="0" w:right="0" w:firstLine="0"/>
        <w:jc w:val="center"/>
        <w:tabs>
          <w:tab w:val="left" w:pos="993" w:leader="none"/>
          <w:tab w:val="left" w:pos="6379" w:leader="none"/>
        </w:tabs>
      </w:pPr>
      <w:r>
        <w:rPr>
          <w:rFonts w:ascii="PT Astra Serif" w:hAnsi="PT Astra Serif" w:eastAsia="PT Astra Serif" w:cs="PT Astra Serif"/>
        </w:rPr>
      </w:r>
      <w:hyperlink r:id="rId14" w:tooltip="consultantplus://offline/ref=6CA2DE0666704A00C210EE9BF5BAD5FAED1A0FFF8DD6BB48EDCB9D5B2A12B00B0C2785C45B6C5EF7F19C74DC02711ED2C6BD93B1Z1q1D" w:history="1">
        <w:r>
          <w:rPr>
            <w:rFonts w:ascii="PT Astra Serif" w:hAnsi="PT Astra Serif" w:eastAsia="PT Astra Serif" w:cs="PT Astra Serif"/>
            <w:sz w:val="26"/>
            <w:szCs w:val="26"/>
          </w:rPr>
          <w:t xml:space="preserve">Основные цели и задачи проведения профилактической работы</w:t>
        </w:r>
      </w:hyperlink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pStyle w:val="908"/>
        <w:jc w:val="center"/>
      </w:pPr>
      <w:r>
        <w:rPr>
          <w:rFonts w:ascii="PT Astra Serif" w:hAnsi="PT Astra Serif" w:eastAsia="PT Astra Serif" w:cs="PT Astra Serif"/>
        </w:rPr>
      </w:r>
      <w:hyperlink r:id="rId15" w:tooltip="consultantplus://offline/ref=6CA2DE0666704A00C210EE9BF5BAD5FAED1A0FFF8DD6BB48EDCB9D5B2A12B00B0C2785C45B6C5EF7F19C74DC02711ED2C6BD93B1Z1q1D" w:history="1">
        <w:r>
          <w:rPr>
            <w:rFonts w:ascii="PT Astra Serif" w:hAnsi="PT Astra Serif" w:eastAsia="PT Astra Serif" w:cs="PT Astra Serif"/>
            <w:sz w:val="26"/>
            <w:szCs w:val="26"/>
          </w:rPr>
          <w:t xml:space="preserve">в рамках осуществления </w:t>
        </w:r>
        <w:r>
          <w:rPr>
            <w:rFonts w:ascii="PT Astra Serif" w:hAnsi="PT Astra Serif" w:eastAsia="PT Astra Serif" w:cs="PT Astra Serif"/>
            <w:sz w:val="26"/>
            <w:szCs w:val="26"/>
          </w:rPr>
          <w:t xml:space="preserve">регионального </w:t>
        </w:r>
        <w:r>
          <w:rPr>
            <w:rFonts w:ascii="PT Astra Serif" w:hAnsi="PT Astra Serif" w:eastAsia="PT Astra Serif" w:cs="PT Astra Serif"/>
            <w:sz w:val="26"/>
            <w:szCs w:val="26"/>
          </w:rPr>
          <w:t xml:space="preserve">государственного </w:t>
        </w:r>
      </w:hyperlink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pStyle w:val="744"/>
        <w:ind w:left="0" w:firstLine="709"/>
        <w:jc w:val="center"/>
        <w:tabs>
          <w:tab w:val="left" w:pos="993" w:leader="none"/>
          <w:tab w:val="left" w:pos="6379" w:leader="none"/>
        </w:tabs>
      </w:pPr>
      <w:r>
        <w:rPr>
          <w:rFonts w:ascii="PT Astra Serif" w:hAnsi="PT Astra Serif" w:eastAsia="PT Astra Serif" w:cs="PT Astra Serif"/>
        </w:rPr>
      </w:r>
      <w:hyperlink r:id="rId16" w:tooltip="consultantplus://offline/ref=6CA2DE0666704A00C210EE9BF5BAD5FAED1A0FFF8DD6BB48EDCB9D5B2A12B00B0C2785C45B6C5EF7F19C74DC02711ED2C6BD93B1Z1q1D" w:history="1">
        <w:r>
          <w:rPr>
            <w:rFonts w:ascii="PT Astra Serif" w:hAnsi="PT Astra Serif" w:eastAsia="PT Astra Serif" w:cs="PT Astra Serif"/>
            <w:sz w:val="26"/>
            <w:szCs w:val="26"/>
          </w:rPr>
          <w:t xml:space="preserve">контроля </w:t>
        </w:r>
        <w:r>
          <w:rPr>
            <w:rFonts w:ascii="PT Astra Serif" w:hAnsi="PT Astra Serif" w:eastAsia="PT Astra Serif" w:cs="PT Astra Serif"/>
            <w:sz w:val="26"/>
            <w:szCs w:val="26"/>
          </w:rPr>
          <w:t xml:space="preserve">(надзора) </w:t>
        </w:r>
        <w:r>
          <w:rPr>
            <w:rFonts w:ascii="PT Astra Serif" w:hAnsi="PT Astra Serif" w:eastAsia="PT Astra Serif" w:cs="PT Astra Serif"/>
            <w:sz w:val="26"/>
            <w:szCs w:val="26"/>
          </w:rPr>
          <w:t xml:space="preserve">за </w:t>
        </w:r>
        <w:r>
          <w:rPr>
            <w:rFonts w:ascii="PT Astra Serif" w:hAnsi="PT Astra Serif" w:eastAsia="PT Astra Serif" w:cs="PT Astra Serif"/>
            <w:sz w:val="26"/>
            <w:szCs w:val="26"/>
          </w:rPr>
        </w:r>
      </w:hyperlink>
      <w:r>
        <w:rPr>
          <w:rFonts w:ascii="PT Astra Serif" w:hAnsi="PT Astra Serif" w:eastAsia="PT Astra Serif" w:cs="PT Astra Serif"/>
          <w:sz w:val="26"/>
          <w:szCs w:val="26"/>
        </w:rPr>
        <w:t xml:space="preserve">состоянием Музейного фонда Российской Федерации </w:t>
        <w:br/>
        <w:t xml:space="preserve">на территории Томской области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pStyle w:val="744"/>
        <w:ind w:left="0" w:firstLine="709"/>
        <w:jc w:val="both"/>
        <w:tabs>
          <w:tab w:val="left" w:pos="993" w:leader="none"/>
        </w:tabs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pStyle w:val="908"/>
        <w:ind w:firstLine="709"/>
        <w:jc w:val="both"/>
      </w:pPr>
      <w:r>
        <w:rPr>
          <w:rFonts w:ascii="PT Astra Serif" w:hAnsi="PT Astra Serif" w:eastAsia="PT Astra Serif" w:cs="PT Astra Serif"/>
        </w:rPr>
      </w:r>
      <w:hyperlink r:id="rId17" w:tooltip="consultantplus://offline/ref=6CA2DE0666704A00C210EE9BF5BAD5FAED1A0FFF8DD6BB48EDCB9D5B2A12B00B0C2785C45B6C5EF7F19C74DC02711ED2C6BD93B1Z1q1D" w:history="1">
        <w:r>
          <w:rPr>
            <w:rFonts w:ascii="PT Astra Serif" w:hAnsi="PT Astra Serif" w:eastAsia="PT Astra Serif" w:cs="PT Astra Serif"/>
            <w:sz w:val="26"/>
            <w:szCs w:val="26"/>
          </w:rPr>
          <w:t xml:space="preserve">Целями проведения мероприятий по профилактике нарушений обязательных требований </w:t>
        </w:r>
        <w:r>
          <w:rPr>
            <w:rFonts w:ascii="PT Astra Serif" w:hAnsi="PT Astra Serif" w:eastAsia="PT Astra Serif" w:cs="PT Astra Serif"/>
            <w:sz w:val="26"/>
            <w:szCs w:val="26"/>
          </w:rPr>
          <w:t xml:space="preserve">контролируемыми лицами </w:t>
        </w:r>
        <w:r>
          <w:rPr>
            <w:rFonts w:ascii="PT Astra Serif" w:hAnsi="PT Astra Serif" w:eastAsia="PT Astra Serif" w:cs="PT Astra Serif"/>
            <w:sz w:val="26"/>
            <w:szCs w:val="26"/>
          </w:rPr>
          <w:t xml:space="preserve">являются:</w:t>
        </w:r>
      </w:hyperlink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pStyle w:val="908"/>
        <w:ind w:firstLine="709"/>
        <w:jc w:val="both"/>
      </w:pPr>
      <w:r>
        <w:rPr>
          <w:rFonts w:ascii="PT Astra Serif" w:hAnsi="PT Astra Serif" w:eastAsia="PT Astra Serif" w:cs="PT Astra Serif"/>
        </w:rPr>
      </w:r>
      <w:hyperlink r:id="rId18" w:tooltip="consultantplus://offline/ref=6CA2DE0666704A00C210EE9BF5BAD5FAED1A0FFF8DD6BB48EDCB9D5B2A12B00B0C2785C45B6C5EF7F19C74DC02711ED2C6BD93B1Z1q1D" w:history="1">
        <w:r>
          <w:rPr>
            <w:rFonts w:ascii="PT Astra Serif" w:hAnsi="PT Astra Serif" w:eastAsia="PT Astra Serif" w:cs="PT Astra Serif"/>
            <w:sz w:val="26"/>
            <w:szCs w:val="26"/>
          </w:rPr>
          <w:t xml:space="preserve">1) предупреждение нарушений обязательных требований;</w:t>
        </w:r>
      </w:hyperlink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pStyle w:val="908"/>
        <w:ind w:firstLine="709"/>
        <w:jc w:val="both"/>
      </w:pPr>
      <w:r>
        <w:rPr>
          <w:rFonts w:ascii="PT Astra Serif" w:hAnsi="PT Astra Serif" w:eastAsia="PT Astra Serif" w:cs="PT Astra Serif"/>
        </w:rPr>
      </w:r>
      <w:hyperlink r:id="rId19" w:tooltip="consultantplus://offline/ref=6CA2DE0666704A00C210EE9BF5BAD5FAED1A0FFF8DD6BB48EDCB9D5B2A12B00B0C2785C45B6C5EF7F19C74DC02711ED2C6BD93B1Z1q1D" w:history="1">
        <w:r>
          <w:rPr>
            <w:rFonts w:ascii="PT Astra Serif" w:hAnsi="PT Astra Serif" w:eastAsia="PT Astra Serif" w:cs="PT Astra Serif"/>
            <w:sz w:val="26"/>
            <w:szCs w:val="26"/>
          </w:rPr>
          <w:t xml:space="preserve">2) устранение причин, факторов и условий, способствующих возможному нарушению обязательных требований;</w:t>
        </w:r>
      </w:hyperlink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pStyle w:val="744"/>
        <w:ind w:left="0" w:right="0" w:firstLine="709"/>
        <w:jc w:val="both"/>
        <w:tabs>
          <w:tab w:val="left" w:pos="709" w:leader="none"/>
          <w:tab w:val="left" w:pos="6379" w:leader="none"/>
        </w:tabs>
      </w:pPr>
      <w:r>
        <w:rPr>
          <w:rFonts w:ascii="PT Astra Serif" w:hAnsi="PT Astra Serif" w:eastAsia="PT Astra Serif" w:cs="PT Astra Serif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sz w:val="26"/>
          <w:szCs w:val="26"/>
        </w:rPr>
        <w:instrText xml:space="preserve">HYPERLINK "consultantplus://offline/ref=6CA2DE0666704A00C210EE9BF5BAD5FAED1A0FFF8DD6BB48EDCB9D5B2A12B00B0C2785C45B6C5EF7F19C74DC02711ED2C6BD93B1Z1q1D" \h</w:instrText>
      </w:r>
      <w:r>
        <w:rPr>
          <w:rFonts w:ascii="PT Astra Serif" w:hAnsi="PT Astra Serif" w:eastAsia="PT Astra Serif" w:cs="PT Astra Serif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sz w:val="26"/>
          <w:szCs w:val="26"/>
        </w:rPr>
        <w:t xml:space="preserve">3) повышение прозрачности системы контроля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обязательных требований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; </w:t>
      </w:r>
      <w:r>
        <w:rPr>
          <w:rFonts w:ascii="PT Astra Serif" w:hAnsi="PT Astra Serif" w:eastAsia="PT Astra Serif" w:cs="PT Astra Serif"/>
          <w:sz w:val="26"/>
          <w:szCs w:val="26"/>
        </w:rPr>
        <w:fldChar w:fldCharType="end"/>
      </w:r>
      <w:r>
        <w:rPr>
          <w:rFonts w:ascii="PT Astra Serif" w:hAnsi="PT Astra Serif" w:eastAsia="PT Astra Serif" w:cs="PT Astra Serif"/>
          <w:sz w:val="26"/>
          <w:szCs w:val="26"/>
        </w:rPr>
        <w:tab/>
        <w:t xml:space="preserve">4) </w:t>
      </w:r>
      <w:hyperlink r:id="rId20" w:tooltip="consultantplus://offline/ref=6CA2DE0666704A00C210EE9BF5BAD5FAED1A0FFF8DD6BB48EDCB9D5B2A12B00B0C2785C45B6C5EF7F19C74DC02711ED2C6BD93B1Z1q1D" w:history="1">
        <w:r>
          <w:rPr>
            <w:rFonts w:ascii="PT Astra Serif" w:hAnsi="PT Astra Serif" w:eastAsia="PT Astra Serif" w:cs="PT Astra Serif"/>
            <w:sz w:val="26"/>
            <w:szCs w:val="26"/>
          </w:rPr>
          <w:t xml:space="preserve">снижение </w:t>
        </w:r>
        <w:r>
          <w:rPr>
            <w:rFonts w:ascii="PT Astra Serif" w:hAnsi="PT Astra Serif" w:eastAsia="PT Astra Serif" w:cs="PT Astra Serif"/>
            <w:sz w:val="26"/>
            <w:szCs w:val="26"/>
          </w:rPr>
          <w:t xml:space="preserve">издержек</w:t>
        </w:r>
        <w:r>
          <w:rPr>
            <w:rFonts w:ascii="PT Astra Serif" w:hAnsi="PT Astra Serif" w:eastAsia="PT Astra Serif" w:cs="PT Astra Serif"/>
            <w:sz w:val="26"/>
            <w:szCs w:val="26"/>
          </w:rPr>
          <w:t xml:space="preserve"> как Департамента</w:t>
        </w:r>
        <w:r>
          <w:rPr>
            <w:rFonts w:ascii="PT Astra Serif" w:hAnsi="PT Astra Serif" w:eastAsia="PT Astra Serif" w:cs="PT Astra Serif"/>
            <w:sz w:val="26"/>
            <w:szCs w:val="26"/>
          </w:rPr>
          <w:t xml:space="preserve">, так и контролируемых лиц</w:t>
        </w:r>
        <w:r>
          <w:rPr>
            <w:rFonts w:ascii="PT Astra Serif" w:hAnsi="PT Astra Serif" w:eastAsia="PT Astra Serif" w:cs="PT Astra Serif"/>
            <w:sz w:val="26"/>
            <w:szCs w:val="26"/>
          </w:rPr>
          <w:t xml:space="preserve"> при осущест</w:t>
        </w:r>
        <w:r>
          <w:rPr>
            <w:rFonts w:ascii="PT Astra Serif" w:hAnsi="PT Astra Serif" w:eastAsia="PT Astra Serif" w:cs="PT Astra Serif"/>
            <w:sz w:val="26"/>
            <w:szCs w:val="26"/>
          </w:rPr>
          <w:t xml:space="preserve">влении контроля</w:t>
        </w:r>
        <w:r>
          <w:rPr>
            <w:rFonts w:ascii="PT Astra Serif" w:hAnsi="PT Astra Serif" w:eastAsia="PT Astra Serif" w:cs="PT Astra Serif"/>
            <w:sz w:val="26"/>
            <w:szCs w:val="26"/>
          </w:rPr>
          <w:t xml:space="preserve"> обязательных требований</w:t>
        </w:r>
        <w:r>
          <w:rPr>
            <w:rFonts w:ascii="PT Astra Serif" w:hAnsi="PT Astra Serif" w:eastAsia="PT Astra Serif" w:cs="PT Astra Serif"/>
            <w:sz w:val="26"/>
            <w:szCs w:val="26"/>
          </w:rPr>
          <w:t xml:space="preserve">;</w:t>
        </w:r>
      </w:hyperlink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pStyle w:val="908"/>
        <w:ind w:firstLine="709"/>
        <w:jc w:val="both"/>
      </w:pPr>
      <w:r>
        <w:rPr>
          <w:rFonts w:ascii="PT Astra Serif" w:hAnsi="PT Astra Serif" w:eastAsia="PT Astra Serif" w:cs="PT Astra Serif"/>
        </w:rPr>
      </w:r>
      <w:hyperlink r:id="rId21" w:tooltip="consultantplus://offline/ref=6CA2DE0666704A00C210EE9BF5BAD5FAED1A0FFF8DD6BB48EDCB9D5B2A12B00B0C2785C45B6C5EF7F19C74DC02711ED2C6BD93B1Z1q1D" w:history="1">
        <w:r>
          <w:rPr>
            <w:rFonts w:ascii="PT Astra Serif" w:hAnsi="PT Astra Serif" w:eastAsia="PT Astra Serif" w:cs="PT Astra Serif"/>
            <w:sz w:val="26"/>
            <w:szCs w:val="26"/>
          </w:rPr>
          <w:t xml:space="preserve">5) снижение административной нагрузки на</w:t>
        </w:r>
        <w:r>
          <w:rPr>
            <w:rFonts w:ascii="PT Astra Serif" w:hAnsi="PT Astra Serif" w:eastAsia="PT Astra Serif" w:cs="PT Astra Serif"/>
            <w:sz w:val="26"/>
            <w:szCs w:val="26"/>
          </w:rPr>
          <w:t xml:space="preserve"> контролируемые лица</w:t>
        </w:r>
        <w:r>
          <w:rPr>
            <w:rFonts w:ascii="PT Astra Serif" w:hAnsi="PT Astra Serif" w:eastAsia="PT Astra Serif" w:cs="PT Astra Serif"/>
            <w:sz w:val="26"/>
            <w:szCs w:val="26"/>
          </w:rPr>
          <w:t xml:space="preserve">;</w:t>
        </w:r>
      </w:hyperlink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pStyle w:val="908"/>
        <w:ind w:firstLine="709"/>
        <w:jc w:val="both"/>
      </w:pPr>
      <w:r>
        <w:rPr>
          <w:rFonts w:ascii="PT Astra Serif" w:hAnsi="PT Astra Serif" w:eastAsia="PT Astra Serif" w:cs="PT Astra Serif"/>
        </w:rPr>
      </w:r>
      <w:hyperlink r:id="rId22" w:tooltip="consultantplus://offline/ref=6CA2DE0666704A00C210EE9BF5BAD5FAED1A0FFF8DD6BB48EDCB9D5B2A12B00B0C2785C45B6C5EF7F19C74DC02711ED2C6BD93B1Z1q1D" w:history="1">
        <w:r>
          <w:rPr>
            <w:rFonts w:ascii="PT Astra Serif" w:hAnsi="PT Astra Serif" w:eastAsia="PT Astra Serif" w:cs="PT Astra Serif"/>
            <w:sz w:val="26"/>
            <w:szCs w:val="26"/>
          </w:rPr>
          <w:t xml:space="preserve">6) создание мотивации к добросовестному поведению и, как следствие, снижение уровня ущерба охраняемым законом ценностям.</w:t>
        </w:r>
      </w:hyperlink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pStyle w:val="908"/>
        <w:ind w:firstLine="709"/>
        <w:jc w:val="both"/>
      </w:pPr>
      <w:r>
        <w:rPr>
          <w:rFonts w:ascii="PT Astra Serif" w:hAnsi="PT Astra Serif" w:eastAsia="PT Astra Serif" w:cs="PT Astra Serif"/>
        </w:rPr>
      </w:r>
      <w:hyperlink r:id="rId23" w:tooltip="consultantplus://offline/ref=6CA2DE0666704A00C210EE9BF5BAD5FAED1A0FFF8DD6BB48EDCB9D5B2A12B00B0C2785C45B6C5EF7F19C74DC02711ED2C6BD93B1Z1q1D" w:history="1">
        <w:r>
          <w:rPr>
            <w:rFonts w:ascii="PT Astra Serif" w:hAnsi="PT Astra Serif" w:eastAsia="PT Astra Serif" w:cs="PT Astra Serif"/>
            <w:sz w:val="26"/>
            <w:szCs w:val="26"/>
          </w:rPr>
          <w:t xml:space="preserve">Задачами проведения мероприятий по профилактике нарушений обязательных требо</w:t>
        </w:r>
        <w:r>
          <w:rPr>
            <w:rFonts w:ascii="PT Astra Serif" w:hAnsi="PT Astra Serif" w:eastAsia="PT Astra Serif" w:cs="PT Astra Serif"/>
            <w:sz w:val="26"/>
            <w:szCs w:val="26"/>
          </w:rPr>
          <w:t xml:space="preserve">ваний контролируемыми лицами</w:t>
        </w:r>
        <w:r>
          <w:rPr>
            <w:rFonts w:ascii="PT Astra Serif" w:hAnsi="PT Astra Serif" w:eastAsia="PT Astra Serif" w:cs="PT Astra Serif"/>
            <w:sz w:val="26"/>
            <w:szCs w:val="26"/>
          </w:rPr>
          <w:t xml:space="preserve"> являются:</w:t>
        </w:r>
      </w:hyperlink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pStyle w:val="908"/>
        <w:ind w:firstLine="709"/>
        <w:jc w:val="both"/>
      </w:pPr>
      <w:r>
        <w:rPr>
          <w:rFonts w:ascii="PT Astra Serif" w:hAnsi="PT Astra Serif" w:eastAsia="PT Astra Serif" w:cs="PT Astra Serif"/>
        </w:rPr>
      </w:r>
      <w:hyperlink r:id="rId24" w:tooltip="consultantplus://offline/ref=6CA2DE0666704A00C210EE9BF5BAD5FAED1A0FFF8DD6BB48EDCB9D5B2A12B00B0C2785C45B6C5EF7F19C74DC02711ED2C6BD93B1Z1q1D" w:history="1">
        <w:r>
          <w:rPr>
            <w:rFonts w:ascii="PT Astra Serif" w:hAnsi="PT Astra Serif" w:eastAsia="PT Astra Serif" w:cs="PT Astra Serif"/>
            <w:sz w:val="26"/>
            <w:szCs w:val="26"/>
          </w:rPr>
          <w:t xml:space="preserve">1) формирование единообразного понимания обязательных требований у всех участников осуществляемой Департаментом контрольной деятельности;</w:t>
        </w:r>
      </w:hyperlink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pStyle w:val="908"/>
        <w:ind w:firstLine="709"/>
        <w:jc w:val="both"/>
      </w:pPr>
      <w:r>
        <w:rPr>
          <w:rFonts w:ascii="PT Astra Serif" w:hAnsi="PT Astra Serif" w:eastAsia="PT Astra Serif" w:cs="PT Astra Serif"/>
        </w:rPr>
      </w:r>
      <w:hyperlink r:id="rId25" w:tooltip="consultantplus://offline/ref=6CA2DE0666704A00C210EE9BF5BAD5FAED1A0FFF8DD6BB48EDCB9D5B2A12B00B0C2785C45B6C5EF7F19C74DC02711ED2C6BD93B1Z1q1D" w:history="1">
        <w:r>
          <w:rPr>
            <w:rFonts w:ascii="PT Astra Serif" w:hAnsi="PT Astra Serif" w:eastAsia="PT Astra Serif" w:cs="PT Astra Serif"/>
            <w:sz w:val="26"/>
            <w:szCs w:val="26"/>
          </w:rPr>
          <w:t xml:space="preserve">2) выявление причин, факторов и условий, способствующих нарушению обязательных требо</w:t>
        </w:r>
        <w:r>
          <w:rPr>
            <w:rFonts w:ascii="PT Astra Serif" w:hAnsi="PT Astra Serif" w:eastAsia="PT Astra Serif" w:cs="PT Astra Serif"/>
            <w:sz w:val="26"/>
            <w:szCs w:val="26"/>
          </w:rPr>
          <w:t xml:space="preserve">ваний контролируемыми лицами</w:t>
        </w:r>
        <w:r>
          <w:rPr>
            <w:rFonts w:ascii="PT Astra Serif" w:hAnsi="PT Astra Serif" w:eastAsia="PT Astra Serif" w:cs="PT Astra Serif"/>
            <w:sz w:val="26"/>
            <w:szCs w:val="26"/>
          </w:rPr>
          <w:t xml:space="preserve">, определение способов их устранения или снижения рисков возникновения;</w:t>
        </w:r>
      </w:hyperlink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pStyle w:val="908"/>
        <w:ind w:firstLine="709"/>
        <w:jc w:val="both"/>
      </w:pPr>
      <w:r>
        <w:rPr>
          <w:rFonts w:ascii="PT Astra Serif" w:hAnsi="PT Astra Serif" w:eastAsia="PT Astra Serif" w:cs="PT Astra Serif"/>
        </w:rPr>
      </w:r>
      <w:hyperlink r:id="rId26" w:tooltip="consultantplus://offline/ref=6CA2DE0666704A00C210EE9BF5BAD5FAED1A0FFF8DD6BB48EDCB9D5B2A12B00B0C2785C45B6C5EF7F19C74DC02711ED2C6BD93B1Z1q1D" w:history="1">
        <w:r>
          <w:rPr>
            <w:rFonts w:ascii="PT Astra Serif" w:hAnsi="PT Astra Serif" w:eastAsia="PT Astra Serif" w:cs="PT Astra Serif"/>
            <w:sz w:val="26"/>
            <w:szCs w:val="26"/>
          </w:rPr>
          <w:t xml:space="preserve">3) выявление типичных нарушений обязательных требований и подготовка предложений по их профилактике.</w:t>
        </w:r>
      </w:hyperlink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pStyle w:val="908"/>
        <w:ind w:firstLine="709"/>
        <w:jc w:val="both"/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pStyle w:val="1_1769"/>
        <w:spacing w:before="0" w:after="0" w:line="240" w:lineRule="auto"/>
        <w:shd w:val="clear" w:color="auto" w:fill="auto"/>
      </w:pPr>
      <w:r>
        <w:rPr>
          <w:rFonts w:ascii="PT Astra Serif" w:hAnsi="PT Astra Serif" w:eastAsia="PT Astra Serif" w:cs="PT Astra Serif"/>
          <w:color w:val="000000"/>
          <w:sz w:val="26"/>
          <w:szCs w:val="26"/>
          <w:shd w:val="clear" w:color="auto" w:fill="ffffff"/>
        </w:rPr>
        <w:t xml:space="preserve">Программные мероприятия</w:t>
      </w:r>
      <w:r>
        <w:rPr>
          <w:rFonts w:ascii="PT Astra Serif" w:hAnsi="PT Astra Serif" w:eastAsia="PT Astra Serif" w:cs="PT Astra Serif"/>
          <w:color w:val="000000"/>
          <w:sz w:val="26"/>
          <w:szCs w:val="26"/>
          <w:shd w:val="clear" w:color="auto" w:fill="ffffff"/>
        </w:rPr>
      </w:r>
      <w:r/>
    </w:p>
    <w:p>
      <w:pPr>
        <w:pStyle w:val="1_1769"/>
        <w:ind w:firstLine="709"/>
        <w:jc w:val="both"/>
        <w:spacing w:before="0" w:after="0" w:line="240" w:lineRule="auto"/>
        <w:shd w:val="clear" w:color="auto" w:fill="auto"/>
      </w:pPr>
      <w:r>
        <w:rPr>
          <w:rFonts w:ascii="PT Astra Serif" w:hAnsi="PT Astra Serif" w:eastAsia="PT Astra Serif" w:cs="PT Astra Serif"/>
          <w:color w:val="000000"/>
          <w:sz w:val="26"/>
          <w:szCs w:val="26"/>
          <w:shd w:val="clear" w:color="auto" w:fill="ffffff"/>
        </w:rPr>
      </w:r>
      <w:r>
        <w:rPr>
          <w:rFonts w:ascii="PT Astra Serif" w:hAnsi="PT Astra Serif" w:eastAsia="PT Astra Serif" w:cs="PT Astra Serif"/>
          <w:color w:val="000000"/>
          <w:sz w:val="26"/>
          <w:szCs w:val="26"/>
          <w:shd w:val="clear" w:color="auto" w:fill="ffffff"/>
        </w:rPr>
      </w:r>
      <w:r/>
    </w:p>
    <w:p>
      <w:pPr>
        <w:jc w:val="both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ab/>
      </w:r>
      <w:r>
        <w:rPr>
          <w:rFonts w:ascii="PT Astra Serif" w:hAnsi="PT Astra Serif" w:eastAsia="PT Astra Serif" w:cs="PT Astra Serif"/>
          <w:sz w:val="26"/>
          <w:szCs w:val="26"/>
        </w:rPr>
        <w:t xml:space="preserve">1. Срок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реализации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Программы -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2025 год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ab/>
      </w:r>
      <w:r>
        <w:rPr>
          <w:rFonts w:ascii="PT Astra Serif" w:hAnsi="PT Astra Serif" w:eastAsia="PT Astra Serif" w:cs="PT Astra Serif"/>
          <w:sz w:val="26"/>
          <w:szCs w:val="26"/>
        </w:rPr>
        <w:t xml:space="preserve">2. Проведение программных мероприятий осуществляется на основании Плана-графика профилактических мероприятий, направленных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на предупреждение нарушений обязательных требований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к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обеспечению сохранности и условий хранения музейных предметов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 музейных коллекций, включенных в состав Музейного фонда Российской Федерации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на территории Томской области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, на 2025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год (приложение </w:t>
      </w:r>
      <w:r>
        <w:rPr>
          <w:rFonts w:ascii="PT Astra Serif" w:hAnsi="PT Astra Serif" w:eastAsia="PT Astra Serif" w:cs="PT Astra Serif"/>
          <w:sz w:val="26"/>
          <w:szCs w:val="26"/>
        </w:rPr>
        <w:br/>
        <w:t xml:space="preserve">к настоящей Программе).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ab/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center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Ресурсное обеспечение П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рограммы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ab/>
      </w:r>
      <w:r>
        <w:rPr>
          <w:rFonts w:ascii="PT Astra Serif" w:hAnsi="PT Astra Serif" w:eastAsia="PT Astra Serif" w:cs="PT Astra Serif"/>
          <w:sz w:val="26"/>
          <w:szCs w:val="26"/>
        </w:rPr>
        <w:t xml:space="preserve">Реализация Программы осуществляется в рамках текущего финанс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ирования деятельности Департамента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, имеющейся численности и ресурсах.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center"/>
      </w:pPr>
      <w:r>
        <w:rPr>
          <w:rStyle w:val="1_1767"/>
          <w:rFonts w:ascii="PT Astra Serif" w:hAnsi="PT Astra Serif" w:eastAsia="PT Astra Serif" w:cs="PT Astra Serif"/>
          <w:color w:val="000000"/>
          <w:sz w:val="26"/>
          <w:szCs w:val="26"/>
        </w:rPr>
        <w:t xml:space="preserve">Оценка эффективности </w:t>
      </w:r>
      <w:r>
        <w:rPr>
          <w:rStyle w:val="1_1767"/>
          <w:rFonts w:ascii="PT Astra Serif" w:hAnsi="PT Astra Serif" w:eastAsia="PT Astra Serif" w:cs="PT Astra Serif"/>
          <w:color w:val="000000"/>
          <w:sz w:val="26"/>
          <w:szCs w:val="26"/>
        </w:rPr>
        <w:t xml:space="preserve">и результативности П</w:t>
      </w:r>
      <w:r>
        <w:rPr>
          <w:rStyle w:val="1_1767"/>
          <w:rFonts w:ascii="PT Astra Serif" w:hAnsi="PT Astra Serif" w:eastAsia="PT Astra Serif" w:cs="PT Astra Serif"/>
          <w:color w:val="000000"/>
          <w:sz w:val="26"/>
          <w:szCs w:val="26"/>
        </w:rPr>
        <w:t xml:space="preserve">рограммы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ab/>
        <w:t xml:space="preserve">1. 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В рамках реализации Программы на состояние подконтрольной сферы может оказать воздействие: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ind w:firstLine="720"/>
        <w:jc w:val="both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- совершенствование нормативной правовой базы в музейной сфере;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ind w:firstLine="720"/>
        <w:jc w:val="both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- улучшение информационного обеспечения по предупреждению нарушений обязательных требований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контролируемых лиц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;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ind w:left="0" w:right="0" w:firstLine="709"/>
        <w:jc w:val="both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- усиление меры административной ответственности за совершение нарушений обязательных требований;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ind w:left="0" w:right="0" w:firstLine="709"/>
        <w:jc w:val="both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- признание административным правонарушени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е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м противоправного, виновного действия (бездействия) как должностного лица, так и юридического лица, если установлено, что у него имелась возможность для соблюдения правил и норм, </w:t>
        <w:br/>
        <w:t xml:space="preserve">но данным лицом не были приняты все зависящие от него меры по их соблюдению.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ab/>
        <w:t xml:space="preserve">2. 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Снижению количества нарушений в подконтрольной сфере может способствовать повышение квалификации, степени информированности руководителей и раб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отников контролируемых лиц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, а также своевременное принятие мер по соблюдению обязательных требований 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ab/>
      </w:r>
      <w:r>
        <w:rPr>
          <w:rFonts w:ascii="PT Astra Serif" w:hAnsi="PT Astra Serif" w:eastAsia="PT Astra Serif" w:cs="PT Astra Serif"/>
          <w:sz w:val="26"/>
          <w:szCs w:val="26"/>
        </w:rPr>
        <w:t xml:space="preserve">В случае несоблю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дения контролируемыми лицами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обязательных требований, может быть причинен ущерб охраняемым законом ценностям.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ab/>
        <w:t xml:space="preserve">3. 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Анализ и эффективность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регионального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государственного контроля (надзора) размещаются в ежегодном докладе об осуществлении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регионального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государственного контроля (надзора) и об эффективности такого контроля (надзора) 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на официальном сайте Департамента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в разделе «Контрольно-надзорная деятельность»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-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«Виды государственного контроля (надзора)»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-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«Государственный контроль </w:t>
        <w:br/>
        <w:t xml:space="preserve">в отношении музейных предметов и музейных коллекций, включенных в состав Музейного фонда Российской Федерации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на территории Томской области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, в рамках полномочий, предоставленных Федеральным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законом от 26 мая 1996 года № 54-ФЗ «О Музейном фонде Российской Федерации и музеях в Российской Федерации» – «Оценка результативности и эффективности контрольно-надзорной деятельности».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ab/>
        <w:t xml:space="preserve">4. 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Основными критериями оценки эффективности и результативности профилактических мероприятий являются: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ab/>
      </w:r>
      <w:r>
        <w:rPr>
          <w:rFonts w:ascii="PT Astra Serif" w:hAnsi="PT Astra Serif" w:eastAsia="PT Astra Serif" w:cs="PT Astra Serif"/>
          <w:sz w:val="26"/>
          <w:szCs w:val="26"/>
        </w:rPr>
        <w:t xml:space="preserve">- результативность деятельности органа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регионального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государственного контроля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(надзора)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;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ab/>
      </w:r>
      <w:r>
        <w:rPr>
          <w:rFonts w:ascii="PT Astra Serif" w:hAnsi="PT Astra Serif" w:eastAsia="PT Astra Serif" w:cs="PT Astra Serif"/>
          <w:sz w:val="26"/>
          <w:szCs w:val="26"/>
        </w:rPr>
        <w:t xml:space="preserve">- информиров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анность контролируемых лиц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об обязательных требованиях, </w:t>
        <w:br/>
        <w:t xml:space="preserve">о принятых и готовящихся изменениях в системе обязательных требований, о порядке проведения мероприятий по контролю,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правах контролируемых лиц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в ходе мероприятий по контролю;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ab/>
      </w:r>
      <w:r>
        <w:rPr>
          <w:rFonts w:ascii="PT Astra Serif" w:hAnsi="PT Astra Serif" w:eastAsia="PT Astra Serif" w:cs="PT Astra Serif"/>
          <w:sz w:val="26"/>
          <w:szCs w:val="26"/>
        </w:rPr>
        <w:t xml:space="preserve">- понятность обязательных тре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бований контролируемых лиц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;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ab/>
      </w:r>
      <w:r>
        <w:rPr>
          <w:rFonts w:ascii="PT Astra Serif" w:hAnsi="PT Astra Serif" w:eastAsia="PT Astra Serif" w:cs="PT Astra Serif"/>
          <w:sz w:val="26"/>
          <w:szCs w:val="26"/>
        </w:rPr>
        <w:t xml:space="preserve">- вов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лечение контролируемых лиц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во взаимодействие с контрольным органом, в том числе в рамках проводимых профилактических мероприятий.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ab/>
        <w:t xml:space="preserve">5.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Оценка эффективности и результативности профилактических мероприятий осуществляется по следующим индикативным показателям: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ind w:left="0" w:right="0" w:firstLine="709"/>
        <w:jc w:val="both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- количество проведенных профилактических мероприятий, ед.;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ind w:left="0" w:right="0" w:firstLine="709"/>
        <w:jc w:val="both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- количество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контролируемых лиц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, в отношении которых проведены профилактические мероприятия, ед.;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ind w:left="0" w:right="0" w:firstLine="709"/>
        <w:jc w:val="both"/>
        <w:rPr>
          <w:rFonts w:ascii="PT Astra Serif" w:hAnsi="PT Astra Serif" w:eastAsia="PT Astra Serif" w:cs="PT Astra Serif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- доля контролируемых лиц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, в отношении которых проведены профилактические мероприятия (показатель рассчитывается в процентах от общего кол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ичества контролируемых лиц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), %.</w:t>
      </w:r>
      <w:r>
        <w:rPr>
          <w:rFonts w:ascii="PT Astra Serif" w:hAnsi="PT Astra Serif" w:eastAsia="PT Astra Serif" w:cs="PT Astra Serif"/>
          <w:sz w:val="26"/>
          <w:szCs w:val="26"/>
        </w:rPr>
      </w:r>
      <w:r/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/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/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ind w:left="0" w:right="0" w:firstLine="709"/>
        <w:jc w:val="both"/>
        <w:rPr>
          <w:rFonts w:ascii="PT Astra Serif" w:hAnsi="PT Astra Serif" w:eastAsia="PT Astra Serif" w:cs="PT Astra Serif"/>
        </w:rPr>
        <w:sectPr>
          <w:headerReference w:type="default" r:id="rId8"/>
          <w:headerReference w:type="even" r:id="rId9"/>
          <w:headerReference w:type="first" r:id="rId10"/>
          <w:footerReference w:type="default" r:id="rId11"/>
          <w:footerReference w:type="even" r:id="rId12"/>
          <w:footerReference w:type="first" r:id="rId13"/>
          <w:footnotePr/>
          <w:endnotePr/>
          <w:type w:val="continuous"/>
          <w:pgSz w:w="11907" w:h="16840" w:orient="portrait"/>
          <w:pgMar w:top="1134" w:right="851" w:bottom="1134" w:left="1418" w:header="709" w:footer="709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ind w:left="0" w:right="0" w:firstLine="709"/>
        <w:jc w:val="both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</w:rPr>
        <w:t xml:space="preserve">                                                              </w:t>
      </w:r>
      <w:r/>
      <w:r/>
    </w:p>
    <w:p>
      <w:pPr>
        <w:jc w:val="center"/>
      </w:pPr>
      <w:r>
        <w:rPr>
          <w:rFonts w:ascii="PT Astra Serif" w:hAnsi="PT Astra Serif" w:eastAsia="PT Astra Serif" w:cs="PT Astra Serif"/>
        </w:rPr>
        <w:fldChar w:fldCharType="begin"/>
      </w:r>
      <w:r>
        <w:rPr>
          <w:rFonts w:ascii="PT Astra Serif" w:hAnsi="PT Astra Serif" w:eastAsia="PT Astra Serif" w:cs="PT Astra Serif"/>
        </w:rPr>
        <w:instrText xml:space="preserve">HYPERLINK "consultantplus://offline/ref=6CA2DE0666704A00C210EE9BF5BAD5FAED1A0FFF8DD6BB48EDCB9D5B2A12B00B0C2785C45B6C5EF7F19C74DC02711ED2C6BD93B1Z1q1D" \h</w:instrText>
      </w:r>
      <w:r>
        <w:rPr>
          <w:rFonts w:ascii="PT Astra Serif" w:hAnsi="PT Astra Serif" w:eastAsia="PT Astra Serif" w:cs="PT Astra Serif"/>
        </w:rPr>
        <w:fldChar w:fldCharType="separate"/>
      </w:r>
      <w:r>
        <w:rPr>
          <w:rFonts w:ascii="PT Astra Serif" w:hAnsi="PT Astra Serif" w:eastAsia="PT Astra Serif" w:cs="PT Astra Serif"/>
          <w:sz w:val="26"/>
          <w:szCs w:val="26"/>
        </w:rPr>
        <w:t xml:space="preserve">План-график профилактических мероприятий</w:t>
      </w:r>
      <w:r>
        <w:rPr>
          <w:rFonts w:ascii="PT Astra Serif" w:hAnsi="PT Astra Serif" w:eastAsia="PT Astra Serif" w:cs="PT Astra Serif"/>
        </w:rPr>
        <w:fldChar w:fldCharType="end"/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center"/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tbl>
      <w:tblPr>
        <w:tblW w:w="14992" w:type="dxa"/>
        <w:tblLook w:val="0000" w:firstRow="0" w:lastRow="0" w:firstColumn="0" w:lastColumn="0" w:noHBand="0" w:noVBand="0"/>
      </w:tblPr>
      <w:tblGrid>
        <w:gridCol w:w="567"/>
        <w:gridCol w:w="5913"/>
        <w:gridCol w:w="2691"/>
        <w:gridCol w:w="2120"/>
        <w:gridCol w:w="3701"/>
      </w:tblGrid>
      <w:tr>
        <w:trPr/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</w:rPr>
            </w:r>
            <w:hyperlink r:id="rId27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№</w:t>
              </w:r>
            </w:hyperlink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  <w:p>
            <w:pPr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hyperlink r:id="rId28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п</w:t>
              </w:r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/</w:t>
              </w:r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п</w:t>
              </w:r>
            </w:hyperlink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1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hyperlink r:id="rId29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Наименование мероприятия</w:t>
              </w:r>
            </w:hyperlink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hyperlink r:id="rId30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Срок исполнения</w:t>
              </w:r>
            </w:hyperlink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hyperlink r:id="rId31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Ответственный исполнитель</w:t>
              </w:r>
            </w:hyperlink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0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hyperlink r:id="rId32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Ожидаемый результат</w:t>
              </w:r>
            </w:hyperlink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hyperlink r:id="rId33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1</w:t>
              </w:r>
            </w:hyperlink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1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Размещение на официальном сайте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Департамента программы профилактики рисков причинения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 вреда (ущерба) охраняемым законом ценностям на 2025 год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hyperlink r:id="rId34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декабрь 20</w:t>
              </w:r>
              <w:r>
                <w:rPr>
                  <w:rFonts w:ascii="PT Astra Serif" w:hAnsi="PT Astra Serif" w:eastAsia="PT Astra Serif" w:cs="PT Astra Serif"/>
                  <w:sz w:val="26"/>
                  <w:szCs w:val="26"/>
                  <w:lang w:eastAsia="ru-RU"/>
                </w:rPr>
                <w:t xml:space="preserve">24</w:t>
              </w:r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 г. </w:t>
              </w:r>
            </w:hyperlink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А.А.Беськаев</w:t>
            </w:r>
            <w:r/>
          </w:p>
          <w:p>
            <w:pPr>
              <w:jc w:val="center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Р.П.Вязовой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0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hyperlink r:id="rId35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Повышение уровня пони</w:t>
              </w:r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мания контролируемыми лицами</w:t>
              </w:r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 порядка организации и выполнения профилактических мероприятий</w:t>
              </w:r>
            </w:hyperlink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hyperlink r:id="rId36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2</w:t>
              </w:r>
            </w:hyperlink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1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hyperlink r:id="rId37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Инфор</w:t>
              </w:r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мирование контролируемых лиц</w:t>
              </w:r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 по вопросам соблюдения обязательных требований</w:t>
              </w:r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 </w:t>
              </w:r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посредством </w:t>
              </w:r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размещения соответствующих сведений на официальном сайте Департамента </w:t>
              </w:r>
            </w:hyperlink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</w:rPr>
            </w:r>
            <w:hyperlink r:id="rId38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февраль</w:t>
              </w:r>
            </w:hyperlink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  <w:p>
            <w:pPr>
              <w:jc w:val="center"/>
            </w:pPr>
            <w:r>
              <w:rPr>
                <w:rFonts w:ascii="PT Astra Serif" w:hAnsi="PT Astra Serif" w:eastAsia="PT Astra Serif" w:cs="PT Astra Serif"/>
              </w:rPr>
            </w:r>
            <w:hyperlink r:id="rId39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июль</w:t>
              </w:r>
            </w:hyperlink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  <w:p>
            <w:pPr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hyperlink r:id="rId40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октябрь</w:t>
              </w:r>
            </w:hyperlink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А.А. Беськаев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  <w:p>
            <w:pPr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0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hyperlink r:id="rId41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Повышение уровня пони</w:t>
              </w:r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мания контролируемыми лицами</w:t>
              </w:r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 обязательных требований, а также рисков их несоблюдения</w:t>
              </w:r>
            </w:hyperlink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hyperlink r:id="rId42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3</w:t>
              </w:r>
            </w:hyperlink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1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hyperlink r:id="rId43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Проведение публичных обсуждений результатов правоприменительной практики Департамента</w:t>
              </w:r>
            </w:hyperlink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hyperlink r:id="rId44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ноябрь</w:t>
              </w:r>
            </w:hyperlink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Р.П.Вязовой</w:t>
            </w:r>
            <w:r/>
          </w:p>
          <w:p>
            <w:pPr>
              <w:jc w:val="center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А.А.Беськаев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</w:p>
          <w:p>
            <w:pPr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0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hyperlink r:id="rId45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Повышение уровня поним</w:t>
              </w:r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ания контролируемыми лицами </w:t>
              </w:r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обязательных требований, а также рисков их несоблюдения</w:t>
              </w:r>
            </w:hyperlink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hyperlink r:id="rId46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4</w:t>
              </w:r>
            </w:hyperlink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1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hyperlink r:id="rId47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Прием заинтересованных лиц в комитете Департамента по вопросам соблюдения обязательных требований</w:t>
              </w:r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.</w:t>
              </w:r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 </w:t>
              </w:r>
            </w:hyperlink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</w:rPr>
            </w:r>
            <w:hyperlink r:id="rId48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еженедельно по средам </w:t>
              </w:r>
            </w:hyperlink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  <w:p>
            <w:pPr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hyperlink r:id="rId49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с 14:00 до 18:00</w:t>
              </w:r>
            </w:hyperlink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А.А. Беськаев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  <w:p>
            <w:pPr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0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hyperlink r:id="rId50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Повышение уровня пони</w:t>
              </w:r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мания контролируемыми лицами</w:t>
              </w:r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 обязательных требований, а также рисков их несоблюдения</w:t>
              </w:r>
            </w:hyperlink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hyperlink r:id="rId51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5</w:t>
              </w:r>
            </w:hyperlink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1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hyperlink r:id="rId52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Подготовка и размещение на официальном сайте Департамента комментариев о содержании новых нормативных правовых актов, устанавливающих обязательные требования</w:t>
              </w:r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, </w:t>
              </w:r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 </w:t>
              </w:r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внесенных изменений в действующие акты, сроков и порядка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</w:t>
              </w:r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требований в области </w:t>
              </w:r>
            </w:hyperlink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музейного дела.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hyperlink r:id="rId53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в течение 10 рабочих дней со дня опубликования нормативных правовых актов, содержащих изменения обязательны</w:t>
              </w:r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х требований в области </w:t>
              </w:r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музейного</w:t>
              </w:r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 дела</w:t>
              </w:r>
            </w:hyperlink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А.А. Беськаев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  <w:p>
            <w:pPr>
              <w:jc w:val="center"/>
              <w:rPr>
                <w:rFonts w:ascii="PT Astra Serif" w:hAnsi="PT Astra Serif" w:eastAsia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Р.П.Вязовой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/>
          </w:p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  <w:p>
            <w:pPr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0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hyperlink r:id="rId54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Повышение уровня понимания </w:t>
              </w:r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контролируемыми лицами </w:t>
              </w:r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обязательных требований, а также рисков их несоблюдения</w:t>
              </w:r>
            </w:hyperlink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</w:tr>
      <w:tr>
        <w:trPr>
          <w:cantSplit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hyperlink r:id="rId55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6</w:t>
              </w:r>
            </w:hyperlink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1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Подготовка и размещение на сайте обобщения практики осуществления контроля за соблюдением </w:t>
            </w:r>
            <w:hyperlink r:id="rId56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 обязательных требований</w:t>
              </w:r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.</w:t>
              </w:r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 </w:t>
              </w:r>
            </w:hyperlink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Не позднее 20 января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  <w:p>
            <w:pPr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А.А. Беськаев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  <w:p>
            <w:pPr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0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hyperlink r:id="rId57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Повышение уровня понимания </w:t>
              </w:r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контролируемыми лицами </w:t>
              </w:r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обязательных требований, а также рисков их несоблюдения</w:t>
              </w:r>
            </w:hyperlink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hyperlink r:id="rId58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7</w:t>
              </w:r>
            </w:hyperlink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1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Размещение на официальном сайте Департамента ответов/разъяснений по часто задаваемым вопросам </w:t>
            </w:r>
            <w:hyperlink r:id="rId59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.</w:t>
              </w:r>
            </w:hyperlink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hyperlink r:id="rId60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по мере необходимости</w:t>
              </w:r>
            </w:hyperlink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А.А. Беськаев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  <w:p>
            <w:pPr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0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hyperlink r:id="rId61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Повышение уровня пони</w:t>
              </w:r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мания контролируемыми лицами</w:t>
              </w:r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 обязательных требований, а также рисков их несоблюдения</w:t>
              </w:r>
            </w:hyperlink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hyperlink r:id="rId62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8</w:t>
              </w:r>
            </w:hyperlink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1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Вынесение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контролируемым лицам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предостережений о недопустимости нарушения обязательных требований в соответствии со статьей 8.2 Федерального закона от 26 декабря 2008 года №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hyperlink r:id="rId63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незамедлительно, при наличии сведений о признаках нарушений обязательных требований</w:t>
              </w:r>
            </w:hyperlink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0" w:type="dxa"/>
            <w:textDirection w:val="lrTb"/>
            <w:noWrap w:val="false"/>
          </w:tcPr>
          <w:p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  А.А. Беськаев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  <w:p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  <w:p>
            <w:pPr>
              <w:jc w:val="center"/>
              <w:rPr>
                <w:rFonts w:ascii="PT Astra Serif" w:hAnsi="PT Astra Serif" w:eastAsia="PT Astra Serif" w:cs="PT Astra Serif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Р.П.Вязовой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/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02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hyperlink r:id="rId64" w:tooltip="consultantplus://offline/ref=6CA2DE0666704A00C210EE9BF5BAD5FAED1A0FFF8DD6BB48EDCB9D5B2A12B00B0C2785C45B6C5EF7F19C74DC02711ED2C6BD93B1Z1q1D" w:history="1">
              <w:r>
                <w:rPr>
                  <w:rFonts w:ascii="PT Astra Serif" w:hAnsi="PT Astra Serif" w:eastAsia="PT Astra Serif" w:cs="PT Astra Serif"/>
                  <w:sz w:val="26"/>
                  <w:szCs w:val="26"/>
                </w:rPr>
                <w:t xml:space="preserve">Пресечение (прекращение) и предупреждение нарушения обязательных требований</w:t>
              </w:r>
            </w:hyperlink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</w:tr>
    </w:tbl>
    <w:p>
      <w:pPr>
        <w:pStyle w:val="909"/>
        <w:ind w:firstLine="0"/>
        <w:rPr>
          <w:rFonts w:ascii="PT Astra Serif" w:hAnsi="PT Astra Serif" w:eastAsia="PT Astra Serif" w:cs="PT Astra Serif"/>
          <w:color w:val="000000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18"/>
          <w:szCs w:val="18"/>
          <w:highlight w:val="none"/>
        </w:rPr>
      </w:r>
      <w:r>
        <w:rPr>
          <w:rFonts w:ascii="PT Astra Serif" w:hAnsi="PT Astra Serif" w:eastAsia="PT Astra Serif" w:cs="PT Astra Serif"/>
          <w:sz w:val="18"/>
          <w:szCs w:val="18"/>
          <w:highlight w:val="none"/>
        </w:rPr>
      </w:r>
    </w:p>
    <w:sectPr>
      <w:footnotePr/>
      <w:endnotePr/>
      <w:type w:val="nextPage"/>
      <w:pgSz w:w="16840" w:h="11907" w:orient="landscape"/>
      <w:pgMar w:top="1418" w:right="1134" w:bottom="851" w:left="1134" w:header="737" w:footer="284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Noto Sans Devanagari">
    <w:panose1 w:val="020B05020405040202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6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6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6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4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b w:val="0"/>
        <w:sz w:val="28"/>
        <w:szCs w:val="24"/>
      </w:rPr>
    </w:r>
    <w:r>
      <w:rPr>
        <w:rFonts w:ascii="PT Astra Serif" w:hAnsi="PT Astra Serif"/>
        <w:sz w:val="28"/>
        <w:szCs w:val="24"/>
      </w:rPr>
      <w:fldChar w:fldCharType="begin"/>
    </w:r>
    <w:r>
      <w:rPr>
        <w:rFonts w:ascii="PT Astra Serif" w:hAnsi="PT Astra Serif"/>
        <w:sz w:val="28"/>
        <w:szCs w:val="24"/>
      </w:rPr>
      <w:instrText xml:space="preserve"> PAGE   \* MERGEFORMAT </w:instrText>
    </w:r>
    <w:r>
      <w:rPr>
        <w:rFonts w:ascii="PT Astra Serif" w:hAnsi="PT Astra Serif"/>
        <w:b w:val="0"/>
        <w:sz w:val="28"/>
        <w:szCs w:val="24"/>
      </w:rPr>
      <w:fldChar w:fldCharType="separate"/>
    </w:r>
    <w:r>
      <w:rPr>
        <w:rFonts w:ascii="PT Astra Serif" w:hAnsi="PT Astra Serif"/>
        <w:b w:val="0"/>
        <w:sz w:val="28"/>
        <w:szCs w:val="24"/>
      </w:rPr>
      <w:t xml:space="preserve">2</w:t>
    </w:r>
    <w:r>
      <w:rPr>
        <w:rFonts w:ascii="PT Astra Serif" w:hAnsi="PT Astra Serif"/>
        <w:b w:val="0"/>
        <w:sz w:val="28"/>
        <w:szCs w:val="24"/>
      </w:rPr>
      <w:fldChar w:fldCharType="end"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4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80085" cy="614680"/>
              <wp:effectExtent l="0" t="0" r="0" b="0"/>
              <wp:docPr id="1" name="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" hidden="0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80085" cy="614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5pt;height:48.4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754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ПО КУЛЬТУРЕ </w:t>
    </w:r>
    <w:r/>
  </w:p>
  <w:p>
    <w:pPr>
      <w:pStyle w:val="754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ТОМСКОЙ ОБЛАСТИ</w:t>
    </w:r>
    <w:r/>
  </w:p>
  <w:p>
    <w:pPr>
      <w:pStyle w:val="754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рАСПОРЯЖЕНИЕ</w: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47">
    <w:name w:val="Caption Char"/>
    <w:basedOn w:val="900"/>
    <w:link w:val="756"/>
    <w:uiPriority w:val="99"/>
  </w:style>
  <w:style w:type="paragraph" w:styleId="178">
    <w:name w:val="endnote text"/>
    <w:basedOn w:val="722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732"/>
    <w:uiPriority w:val="99"/>
    <w:semiHidden/>
    <w:unhideWhenUsed/>
    <w:rPr>
      <w:vertAlign w:val="superscript"/>
    </w:rPr>
  </w:style>
  <w:style w:type="paragraph" w:styleId="191">
    <w:name w:val="table of figures"/>
    <w:basedOn w:val="722"/>
    <w:next w:val="722"/>
    <w:uiPriority w:val="99"/>
    <w:unhideWhenUsed/>
    <w:pPr>
      <w:spacing w:after="0" w:afterAutospacing="0"/>
    </w:pPr>
  </w:style>
  <w:style w:type="character" w:styleId="706">
    <w:name w:val="Heading 1 Char"/>
    <w:basedOn w:val="732"/>
    <w:link w:val="723"/>
    <w:uiPriority w:val="9"/>
    <w:rPr>
      <w:rFonts w:ascii="Arial" w:hAnsi="Arial" w:eastAsia="Arial" w:cs="Arial"/>
      <w:sz w:val="40"/>
      <w:szCs w:val="40"/>
    </w:rPr>
  </w:style>
  <w:style w:type="character" w:styleId="707">
    <w:name w:val="Heading 2 Char"/>
    <w:basedOn w:val="732"/>
    <w:link w:val="724"/>
    <w:uiPriority w:val="9"/>
    <w:rPr>
      <w:rFonts w:ascii="Arial" w:hAnsi="Arial" w:eastAsia="Arial" w:cs="Arial"/>
      <w:sz w:val="34"/>
    </w:rPr>
  </w:style>
  <w:style w:type="character" w:styleId="708">
    <w:name w:val="Heading 3 Char"/>
    <w:basedOn w:val="732"/>
    <w:link w:val="725"/>
    <w:uiPriority w:val="9"/>
    <w:rPr>
      <w:rFonts w:ascii="Arial" w:hAnsi="Arial" w:eastAsia="Arial" w:cs="Arial"/>
      <w:sz w:val="30"/>
      <w:szCs w:val="30"/>
    </w:rPr>
  </w:style>
  <w:style w:type="character" w:styleId="709">
    <w:name w:val="Heading 4 Char"/>
    <w:basedOn w:val="732"/>
    <w:link w:val="726"/>
    <w:uiPriority w:val="9"/>
    <w:rPr>
      <w:rFonts w:ascii="Arial" w:hAnsi="Arial" w:eastAsia="Arial" w:cs="Arial"/>
      <w:b/>
      <w:bCs/>
      <w:sz w:val="26"/>
      <w:szCs w:val="26"/>
    </w:rPr>
  </w:style>
  <w:style w:type="character" w:styleId="710">
    <w:name w:val="Heading 5 Char"/>
    <w:basedOn w:val="732"/>
    <w:link w:val="727"/>
    <w:uiPriority w:val="9"/>
    <w:rPr>
      <w:rFonts w:ascii="Arial" w:hAnsi="Arial" w:eastAsia="Arial" w:cs="Arial"/>
      <w:b/>
      <w:bCs/>
      <w:sz w:val="24"/>
      <w:szCs w:val="24"/>
    </w:rPr>
  </w:style>
  <w:style w:type="character" w:styleId="711">
    <w:name w:val="Heading 6 Char"/>
    <w:basedOn w:val="732"/>
    <w:link w:val="728"/>
    <w:uiPriority w:val="9"/>
    <w:rPr>
      <w:rFonts w:ascii="Arial" w:hAnsi="Arial" w:eastAsia="Arial" w:cs="Arial"/>
      <w:b/>
      <w:bCs/>
      <w:sz w:val="22"/>
      <w:szCs w:val="22"/>
    </w:rPr>
  </w:style>
  <w:style w:type="character" w:styleId="712">
    <w:name w:val="Heading 7 Char"/>
    <w:basedOn w:val="732"/>
    <w:link w:val="72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3">
    <w:name w:val="Heading 8 Char"/>
    <w:basedOn w:val="732"/>
    <w:link w:val="730"/>
    <w:uiPriority w:val="9"/>
    <w:rPr>
      <w:rFonts w:ascii="Arial" w:hAnsi="Arial" w:eastAsia="Arial" w:cs="Arial"/>
      <w:i/>
      <w:iCs/>
      <w:sz w:val="22"/>
      <w:szCs w:val="22"/>
    </w:rPr>
  </w:style>
  <w:style w:type="character" w:styleId="714">
    <w:name w:val="Heading 9 Char"/>
    <w:basedOn w:val="732"/>
    <w:link w:val="731"/>
    <w:uiPriority w:val="9"/>
    <w:rPr>
      <w:rFonts w:ascii="Arial" w:hAnsi="Arial" w:eastAsia="Arial" w:cs="Arial"/>
      <w:i/>
      <w:iCs/>
      <w:sz w:val="21"/>
      <w:szCs w:val="21"/>
    </w:rPr>
  </w:style>
  <w:style w:type="character" w:styleId="715">
    <w:name w:val="Title Char"/>
    <w:basedOn w:val="732"/>
    <w:link w:val="746"/>
    <w:uiPriority w:val="10"/>
    <w:rPr>
      <w:sz w:val="48"/>
      <w:szCs w:val="48"/>
    </w:rPr>
  </w:style>
  <w:style w:type="character" w:styleId="716">
    <w:name w:val="Subtitle Char"/>
    <w:basedOn w:val="732"/>
    <w:link w:val="748"/>
    <w:uiPriority w:val="11"/>
    <w:rPr>
      <w:sz w:val="24"/>
      <w:szCs w:val="24"/>
    </w:rPr>
  </w:style>
  <w:style w:type="character" w:styleId="717">
    <w:name w:val="Quote Char"/>
    <w:link w:val="750"/>
    <w:uiPriority w:val="29"/>
    <w:rPr>
      <w:i/>
    </w:rPr>
  </w:style>
  <w:style w:type="character" w:styleId="718">
    <w:name w:val="Intense Quote Char"/>
    <w:link w:val="752"/>
    <w:uiPriority w:val="30"/>
    <w:rPr>
      <w:i/>
    </w:rPr>
  </w:style>
  <w:style w:type="character" w:styleId="719">
    <w:name w:val="Header Char"/>
    <w:basedOn w:val="732"/>
    <w:link w:val="754"/>
    <w:uiPriority w:val="99"/>
  </w:style>
  <w:style w:type="character" w:styleId="720">
    <w:name w:val="Footer Char"/>
    <w:basedOn w:val="732"/>
    <w:link w:val="756"/>
    <w:uiPriority w:val="99"/>
  </w:style>
  <w:style w:type="character" w:styleId="721">
    <w:name w:val="Footnote Text Char"/>
    <w:link w:val="885"/>
    <w:uiPriority w:val="99"/>
    <w:rPr>
      <w:sz w:val="18"/>
    </w:rPr>
  </w:style>
  <w:style w:type="paragraph" w:styleId="722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723">
    <w:name w:val="Heading 1"/>
    <w:link w:val="735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724">
    <w:name w:val="Heading 2"/>
    <w:link w:val="736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25">
    <w:name w:val="Heading 3"/>
    <w:link w:val="73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26">
    <w:name w:val="Heading 4"/>
    <w:link w:val="73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27">
    <w:name w:val="Heading 5"/>
    <w:link w:val="73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28">
    <w:name w:val="Heading 6"/>
    <w:link w:val="74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29">
    <w:name w:val="Heading 7"/>
    <w:link w:val="74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30">
    <w:name w:val="Heading 8"/>
    <w:link w:val="74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31">
    <w:name w:val="Heading 9"/>
    <w:link w:val="74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32" w:default="1">
    <w:name w:val="Default Paragraph Font"/>
    <w:uiPriority w:val="1"/>
    <w:semiHidden/>
    <w:unhideWhenUsed/>
  </w:style>
  <w:style w:type="table" w:styleId="733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4" w:default="1">
    <w:name w:val="No List"/>
    <w:uiPriority w:val="99"/>
    <w:semiHidden/>
    <w:unhideWhenUsed/>
  </w:style>
  <w:style w:type="character" w:styleId="735" w:customStyle="1">
    <w:name w:val="Заголовок 1 Знак"/>
    <w:link w:val="723"/>
    <w:uiPriority w:val="9"/>
    <w:rPr>
      <w:rFonts w:ascii="Arial" w:hAnsi="Arial" w:eastAsia="Arial"/>
      <w:sz w:val="40"/>
      <w:szCs w:val="40"/>
      <w:lang w:bidi="ar-SA"/>
    </w:rPr>
  </w:style>
  <w:style w:type="character" w:styleId="736" w:customStyle="1">
    <w:name w:val="Заголовок 2 Знак"/>
    <w:link w:val="724"/>
    <w:uiPriority w:val="9"/>
    <w:rPr>
      <w:rFonts w:ascii="Arial" w:hAnsi="Arial" w:eastAsia="Arial"/>
      <w:sz w:val="34"/>
      <w:lang w:bidi="ar-SA"/>
    </w:rPr>
  </w:style>
  <w:style w:type="character" w:styleId="737" w:customStyle="1">
    <w:name w:val="Заголовок 3 Знак"/>
    <w:link w:val="725"/>
    <w:uiPriority w:val="9"/>
    <w:rPr>
      <w:rFonts w:ascii="Arial" w:hAnsi="Arial" w:eastAsia="Arial"/>
      <w:sz w:val="30"/>
      <w:szCs w:val="30"/>
      <w:lang w:bidi="ar-SA"/>
    </w:rPr>
  </w:style>
  <w:style w:type="character" w:styleId="738" w:customStyle="1">
    <w:name w:val="Заголовок 4 Знак"/>
    <w:link w:val="726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39" w:customStyle="1">
    <w:name w:val="Заголовок 5 Знак"/>
    <w:link w:val="727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40" w:customStyle="1">
    <w:name w:val="Заголовок 6 Знак"/>
    <w:link w:val="728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41" w:customStyle="1">
    <w:name w:val="Заголовок 7 Знак"/>
    <w:link w:val="729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42" w:customStyle="1">
    <w:name w:val="Заголовок 8 Знак"/>
    <w:link w:val="730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43" w:customStyle="1">
    <w:name w:val="Заголовок 9 Знак"/>
    <w:link w:val="731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44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745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746">
    <w:name w:val="Title"/>
    <w:link w:val="747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47" w:customStyle="1">
    <w:name w:val="Название Знак"/>
    <w:link w:val="746"/>
    <w:uiPriority w:val="10"/>
    <w:rPr>
      <w:sz w:val="48"/>
      <w:szCs w:val="48"/>
      <w:lang w:bidi="ar-SA"/>
    </w:rPr>
  </w:style>
  <w:style w:type="paragraph" w:styleId="748">
    <w:name w:val="Subtitle"/>
    <w:link w:val="749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49" w:customStyle="1">
    <w:name w:val="Подзаголовок Знак"/>
    <w:link w:val="748"/>
    <w:uiPriority w:val="11"/>
    <w:rPr>
      <w:sz w:val="24"/>
      <w:szCs w:val="24"/>
      <w:lang w:bidi="ar-SA"/>
    </w:rPr>
  </w:style>
  <w:style w:type="paragraph" w:styleId="750">
    <w:name w:val="Quote"/>
    <w:link w:val="751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51" w:customStyle="1">
    <w:name w:val="Цитата 2 Знак"/>
    <w:link w:val="750"/>
    <w:uiPriority w:val="29"/>
    <w:rPr>
      <w:i/>
      <w:lang w:val="ru-RU" w:eastAsia="ru-RU" w:bidi="ar-SA"/>
    </w:rPr>
  </w:style>
  <w:style w:type="paragraph" w:styleId="752">
    <w:name w:val="Intense Quote"/>
    <w:link w:val="75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53" w:customStyle="1">
    <w:name w:val="Выделенная цитата Знак"/>
    <w:link w:val="752"/>
    <w:uiPriority w:val="30"/>
    <w:rPr>
      <w:i/>
      <w:shd w:val="clear" w:color="auto" w:fill="f2f2f2"/>
      <w:lang w:val="ru-RU" w:eastAsia="ru-RU" w:bidi="ar-SA"/>
    </w:rPr>
  </w:style>
  <w:style w:type="paragraph" w:styleId="754">
    <w:name w:val="Header"/>
    <w:basedOn w:val="722"/>
    <w:link w:val="755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55" w:customStyle="1">
    <w:name w:val="Верхний колонтитул Знак"/>
    <w:link w:val="754"/>
    <w:uiPriority w:val="99"/>
  </w:style>
  <w:style w:type="paragraph" w:styleId="756">
    <w:name w:val="Footer"/>
    <w:basedOn w:val="722"/>
    <w:link w:val="757"/>
    <w:uiPriority w:val="99"/>
    <w:pPr>
      <w:tabs>
        <w:tab w:val="center" w:pos="4153" w:leader="none"/>
        <w:tab w:val="right" w:pos="8306" w:leader="none"/>
      </w:tabs>
    </w:pPr>
  </w:style>
  <w:style w:type="character" w:styleId="757" w:customStyle="1">
    <w:name w:val="Нижний колонтитул Знак"/>
    <w:link w:val="756"/>
    <w:uiPriority w:val="99"/>
  </w:style>
  <w:style w:type="table" w:styleId="758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9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0" w:customStyle="1">
    <w:name w:val="Plain Table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1" w:customStyle="1">
    <w:name w:val="Plain Table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2" w:customStyle="1">
    <w:name w:val="Plain Table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Plain Table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Plain Table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1 Ligh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5 Dark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6 Colorful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7 Colorful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1 Ligh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5 Dark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6 Colorful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7 Colorful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84">
    <w:name w:val="Hyperlink"/>
    <w:uiPriority w:val="99"/>
    <w:unhideWhenUsed/>
    <w:rPr>
      <w:color w:val="0000ff"/>
      <w:u w:val="single"/>
    </w:rPr>
  </w:style>
  <w:style w:type="paragraph" w:styleId="885">
    <w:name w:val="footnote text"/>
    <w:link w:val="886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886" w:customStyle="1">
    <w:name w:val="Текст сноски Знак"/>
    <w:link w:val="885"/>
    <w:uiPriority w:val="99"/>
    <w:semiHidden/>
    <w:rPr>
      <w:sz w:val="18"/>
      <w:lang w:bidi="ar-SA"/>
    </w:rPr>
  </w:style>
  <w:style w:type="character" w:styleId="887">
    <w:name w:val="footnote reference"/>
    <w:uiPriority w:val="99"/>
    <w:unhideWhenUsed/>
    <w:rPr>
      <w:vertAlign w:val="superscript"/>
    </w:rPr>
  </w:style>
  <w:style w:type="paragraph" w:styleId="888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889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890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891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892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893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894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895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896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897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898">
    <w:name w:val="Body Text"/>
    <w:basedOn w:val="722"/>
    <w:next w:val="722"/>
    <w:pPr>
      <w:jc w:val="both"/>
    </w:pPr>
    <w:rPr>
      <w:sz w:val="22"/>
    </w:rPr>
  </w:style>
  <w:style w:type="character" w:styleId="899">
    <w:name w:val="page number"/>
    <w:basedOn w:val="732"/>
  </w:style>
  <w:style w:type="paragraph" w:styleId="900">
    <w:name w:val="Caption"/>
    <w:basedOn w:val="722"/>
    <w:next w:val="722"/>
    <w:pPr>
      <w:jc w:val="center"/>
    </w:pPr>
    <w:rPr>
      <w:b/>
      <w:sz w:val="28"/>
    </w:rPr>
  </w:style>
  <w:style w:type="paragraph" w:styleId="901">
    <w:name w:val="Body Text 2"/>
    <w:basedOn w:val="722"/>
    <w:pPr>
      <w:ind w:right="5102"/>
      <w:jc w:val="center"/>
      <w:spacing w:before="120"/>
    </w:pPr>
  </w:style>
  <w:style w:type="paragraph" w:styleId="902" w:customStyle="1">
    <w:name w:val="Обращение"/>
    <w:basedOn w:val="722"/>
    <w:next w:val="722"/>
    <w:pPr>
      <w:jc w:val="center"/>
      <w:spacing w:before="240" w:after="120"/>
    </w:pPr>
    <w:rPr>
      <w:b/>
    </w:rPr>
  </w:style>
  <w:style w:type="paragraph" w:styleId="903" w:customStyle="1">
    <w:name w:val="Адресные реквизиты"/>
    <w:basedOn w:val="898"/>
    <w:next w:val="898"/>
    <w:pPr>
      <w:jc w:val="left"/>
    </w:pPr>
    <w:rPr>
      <w:sz w:val="16"/>
    </w:rPr>
  </w:style>
  <w:style w:type="paragraph" w:styleId="904" w:customStyle="1">
    <w:name w:val="Адресат"/>
    <w:basedOn w:val="722"/>
    <w:pPr>
      <w:spacing w:before="120"/>
    </w:pPr>
    <w:rPr>
      <w:b/>
    </w:rPr>
  </w:style>
  <w:style w:type="paragraph" w:styleId="905">
    <w:name w:val="Body Text 3"/>
    <w:basedOn w:val="722"/>
    <w:pPr>
      <w:spacing w:before="120"/>
      <w:tabs>
        <w:tab w:val="left" w:pos="7371" w:leader="none"/>
      </w:tabs>
    </w:pPr>
    <w:rPr>
      <w:sz w:val="28"/>
    </w:rPr>
  </w:style>
  <w:style w:type="paragraph" w:styleId="906">
    <w:name w:val="Balloon Text"/>
    <w:basedOn w:val="722"/>
    <w:link w:val="907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907" w:customStyle="1">
    <w:name w:val="Текст выноски Знак"/>
    <w:link w:val="906"/>
    <w:uiPriority w:val="99"/>
    <w:semiHidden/>
    <w:rPr>
      <w:rFonts w:ascii="Tahoma" w:hAnsi="Tahoma" w:cs="Tahoma"/>
      <w:sz w:val="16"/>
      <w:szCs w:val="16"/>
    </w:rPr>
  </w:style>
  <w:style w:type="paragraph" w:styleId="908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09">
    <w:name w:val="Body Text Indent"/>
    <w:basedOn w:val="722"/>
    <w:link w:val="910"/>
    <w:uiPriority w:val="99"/>
    <w:semiHidden/>
    <w:unhideWhenUsed/>
    <w:pPr>
      <w:ind w:left="283"/>
      <w:spacing w:after="120"/>
    </w:pPr>
  </w:style>
  <w:style w:type="character" w:styleId="910" w:customStyle="1">
    <w:name w:val="Основной текст с отступом Знак"/>
    <w:basedOn w:val="732"/>
    <w:link w:val="909"/>
    <w:uiPriority w:val="99"/>
    <w:semiHidden/>
    <w:rPr>
      <w:szCs w:val="22"/>
      <w:lang w:eastAsia="en-US" w:bidi="en-US"/>
    </w:rPr>
  </w:style>
  <w:style w:type="character" w:styleId="1_1767" w:customStyle="1">
    <w:name w:val="Основной текст (2)_"/>
    <w:basedOn w:val="917"/>
    <w:link w:val="1006"/>
    <w:uiPriority w:val="99"/>
    <w:rPr>
      <w:sz w:val="28"/>
      <w:szCs w:val="28"/>
      <w:shd w:val="clear" w:color="auto" w:fill="ffffff"/>
    </w:rPr>
  </w:style>
  <w:style w:type="character" w:styleId="1_1768" w:customStyle="1">
    <w:name w:val="Основной текст (2)2"/>
    <w:basedOn w:val="1004"/>
    <w:uiPriority w:val="99"/>
    <w:rPr>
      <w:sz w:val="28"/>
      <w:szCs w:val="28"/>
      <w:u w:val="single"/>
      <w:shd w:val="clear" w:color="auto" w:fill="ffffff"/>
    </w:rPr>
  </w:style>
  <w:style w:type="paragraph" w:styleId="1_1769" w:customStyle="1">
    <w:name w:val="Основной текст (2)1"/>
    <w:basedOn w:val="916"/>
    <w:link w:val="1004"/>
    <w:uiPriority w:val="99"/>
    <w:pPr>
      <w:contextualSpacing w:val="0"/>
      <w:ind w:left="0" w:right="0" w:firstLine="0"/>
      <w:jc w:val="center"/>
      <w:keepLines w:val="0"/>
      <w:keepNext w:val="0"/>
      <w:pageBreakBefore w:val="0"/>
      <w:spacing w:before="720" w:beforeAutospacing="0" w:after="360" w:afterAutospacing="0" w:line="240" w:lineRule="atLeast"/>
      <w:shd w:val="clear" w:color="auto" w:fill="ffffff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PT Astra Serif" w:hAnsi="PT Astra Serif" w:eastAsia="Tahoma" w:cs="Noto Sans Devanagari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8"/>
      <w:szCs w:val="28"/>
      <w:highlight w:val="none"/>
      <w:u w:val="none"/>
      <w:vertAlign w:val="baseline"/>
      <w:rtl w:val="0"/>
      <w:cs w:val="0"/>
      <w:lang w:val="ru-RU" w:eastAsia="zh-CN" w:bidi="hi-IN"/>
      <w14:ligatures w14:val="none"/>
    </w:rPr>
  </w:style>
  <w:style w:type="paragraph" w:styleId="1_1764" w:customStyle="1">
    <w:name w:val="Исполнитель"/>
    <w:basedOn w:val="916"/>
    <w:qFormat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zh-CN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5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6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7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8" Type="http://schemas.openxmlformats.org/officeDocument/2006/relationships/hyperlink" Target="consultantplus://offline/ref=6CA2DE0666704A00C210EE9BF5BAD5FAED1A0FFF8DD6BB48EDCB9D5B2A12B00B0C2785C45B6C5EF7F19C74DC02711ED2C6BD93B1Z1q1D" TargetMode="External"/><Relationship Id="rId19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0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1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2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4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5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6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7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8" Type="http://schemas.openxmlformats.org/officeDocument/2006/relationships/hyperlink" Target="consultantplus://offline/ref=6CA2DE0666704A00C210EE9BF5BAD5FAED1A0FFF8DD6BB48EDCB9D5B2A12B00B0C2785C45B6C5EF7F19C74DC02711ED2C6BD93B1Z1q1D" TargetMode="External"/><Relationship Id="rId29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0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1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2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4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5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6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7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8" Type="http://schemas.openxmlformats.org/officeDocument/2006/relationships/hyperlink" Target="consultantplus://offline/ref=6CA2DE0666704A00C210EE9BF5BAD5FAED1A0FFF8DD6BB48EDCB9D5B2A12B00B0C2785C45B6C5EF7F19C74DC02711ED2C6BD93B1Z1q1D" TargetMode="External"/><Relationship Id="rId39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0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1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2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4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5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6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7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8" Type="http://schemas.openxmlformats.org/officeDocument/2006/relationships/hyperlink" Target="consultantplus://offline/ref=6CA2DE0666704A00C210EE9BF5BAD5FAED1A0FFF8DD6BB48EDCB9D5B2A12B00B0C2785C45B6C5EF7F19C74DC02711ED2C6BD93B1Z1q1D" TargetMode="External"/><Relationship Id="rId49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0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1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2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4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5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6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7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8" Type="http://schemas.openxmlformats.org/officeDocument/2006/relationships/hyperlink" Target="consultantplus://offline/ref=6CA2DE0666704A00C210EE9BF5BAD5FAED1A0FFF8DD6BB48EDCB9D5B2A12B00B0C2785C45B6C5EF7F19C74DC02711ED2C6BD93B1Z1q1D" TargetMode="External"/><Relationship Id="rId59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0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1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2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3" Type="http://schemas.openxmlformats.org/officeDocument/2006/relationships/hyperlink" Target="consultantplus://offline/ref=6CA2DE0666704A00C210EE9BF5BAD5FAED1A0FFF8DD6BB48EDCB9D5B2A12B00B0C2785C45B6C5EF7F19C74DC02711ED2C6BD93B1Z1q1D" TargetMode="External"/><Relationship Id="rId64" Type="http://schemas.openxmlformats.org/officeDocument/2006/relationships/hyperlink" Target="consultantplus://offline/ref=6CA2DE0666704A00C210EE9BF5BAD5FAED1A0FFF8DD6BB48EDCB9D5B2A12B00B0C2785C45B6C5EF7F19C74DC02711ED2C6BD93B1Z1q1D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Р7-Офис/7.3.3.0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revision>7</cp:revision>
  <dcterms:created xsi:type="dcterms:W3CDTF">2021-03-15T06:10:00Z</dcterms:created>
  <dcterms:modified xsi:type="dcterms:W3CDTF">2024-09-26T03:29:23Z</dcterms:modified>
</cp:coreProperties>
</file>