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media/image1.png" ContentType="image/png"/>
  <Override PartName="/word/header4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header3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spacing w:before="120" w:after="0"/>
        <w:ind w:left="0" w:right="0" w:hanging="0"/>
        <w:jc w:val="center"/>
        <w:rPr>
          <w:rFonts w:ascii="PT Astra Serif" w:hAnsi="PT Astra Serif"/>
        </w:rPr>
      </w:pPr>
      <w:bookmarkStart w:id="0" w:name="ТекстовоеПоле2"/>
      <w:bookmarkEnd w:id="0"/>
      <w:r>
        <w:rPr>
          <w:rFonts w:ascii="PT Astra Serif" w:hAnsi="PT Astra Serif"/>
          <w:b/>
          <w:szCs w:val="28"/>
        </w:rPr>
        <w:t>РАСПОРЯЖЕНИЕ</w:t>
      </w:r>
    </w:p>
    <w:p>
      <w:pPr>
        <w:pStyle w:val="Style19"/>
        <w:tabs>
          <w:tab w:val="clear" w:pos="720"/>
          <w:tab w:val="right" w:pos="1276" w:leader="none"/>
          <w:tab w:val="left" w:pos="7938" w:leader="none"/>
        </w:tabs>
        <w:bidi w:val="0"/>
        <w:spacing w:before="480" w:after="0"/>
        <w:ind w:left="0" w:right="0" w:hanging="0"/>
        <w:rPr>
          <w:rFonts w:ascii="PT Astra Serif" w:hAnsi="PT Astra Serif"/>
        </w:rPr>
      </w:pPr>
      <w:r>
        <w:rPr>
          <w:rFonts w:ascii="PT Astra Serif" w:hAnsi="PT Astra Serif"/>
          <w:color w:val="FFFFFF"/>
          <w:szCs w:val="28"/>
        </w:rPr>
        <w:t>01</w:t>
      </w:r>
      <w:r>
        <w:rPr>
          <w:rFonts w:ascii="PT Astra Serif" w:hAnsi="PT Astra Serif"/>
          <w:szCs w:val="28"/>
        </w:rPr>
        <w:t>.</w:t>
      </w:r>
      <w:r>
        <w:rPr>
          <w:rFonts w:ascii="PT Astra Serif" w:hAnsi="PT Astra Serif"/>
          <w:color w:val="FFFFFF"/>
          <w:szCs w:val="28"/>
        </w:rPr>
        <w:t>02</w:t>
      </w:r>
      <w:r>
        <w:rPr>
          <w:rFonts w:ascii="PT Astra Serif" w:hAnsi="PT Astra Serif"/>
          <w:szCs w:val="28"/>
        </w:rPr>
        <w:t>.2019</w:t>
        <w:tab/>
        <w:tab/>
        <w:t>№ </w:t>
      </w:r>
      <w:r>
        <w:rPr>
          <w:rFonts w:ascii="PT Astra Serif" w:hAnsi="PT Astra Serif"/>
          <w:color w:val="FFFFFF"/>
          <w:szCs w:val="28"/>
        </w:rPr>
        <w:t>1555</w:t>
      </w:r>
      <w:r>
        <w:rPr>
          <w:rFonts w:ascii="PT Astra Serif" w:hAnsi="PT Astra Serif"/>
          <w:szCs w:val="28"/>
        </w:rPr>
        <w:t>/01-10</w:t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Об</w:t>
      </w:r>
      <w:r>
        <w:rPr>
          <w:rFonts w:cs="Times New Roman" w:ascii="PT Astra Serif" w:hAnsi="PT Astra Serif"/>
          <w:sz w:val="28"/>
          <w:szCs w:val="28"/>
          <w:lang w:val="ru-RU"/>
        </w:rPr>
        <w:t xml:space="preserve"> утверждении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программы профилактики рисков </w:t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причинения вреда  (ущерба)</w:t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eastAsia="Times New Roman" w:cs="Times New Roman"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охраняемым законом ценностям на 2022 год </w:t>
      </w:r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737"/>
        <w:jc w:val="both"/>
        <w:rPr/>
      </w:pPr>
      <w:r>
        <w:rPr>
          <w:rFonts w:ascii="PT Astra Serif" w:hAnsi="PT Astra Serif"/>
          <w:sz w:val="28"/>
          <w:szCs w:val="28"/>
        </w:rPr>
        <w:t xml:space="preserve">1. В соответствии с </w:t>
      </w:r>
      <w:r>
        <w:rPr>
          <w:rFonts w:cs="PT Astra Serif" w:ascii="PT Astra Serif" w:hAnsi="PT Astra Serif"/>
          <w:sz w:val="28"/>
          <w:szCs w:val="28"/>
        </w:rPr>
        <w:t xml:space="preserve">Федерального закона от </w:t>
      </w:r>
      <w:r>
        <w:rPr>
          <w:rFonts w:eastAsia="Times New Roman" w:cs="PT Astra Serif" w:ascii="PT Astra Serif" w:hAnsi="PT Astra Serif"/>
          <w:color w:val="auto"/>
          <w:sz w:val="28"/>
          <w:szCs w:val="28"/>
          <w:lang w:val="ru-RU" w:eastAsia="zh-CN" w:bidi="ar-SA"/>
        </w:rPr>
        <w:t>31</w:t>
      </w:r>
      <w:r>
        <w:rPr>
          <w:rFonts w:cs="PT Astra Serif" w:ascii="PT Astra Serif" w:hAnsi="PT Astra Serif"/>
          <w:sz w:val="28"/>
          <w:szCs w:val="28"/>
        </w:rPr>
        <w:t xml:space="preserve"> июля 2020 года № 248-ФЗ «О государственном контроле (надзоре) и муниципальном контроле в Российской Федерации» и Постановлением Правительства Российской Федерации 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>
        <w:rPr>
          <w:rFonts w:ascii="PT Astra Serif" w:hAnsi="PT Astra Serif"/>
          <w:sz w:val="28"/>
          <w:szCs w:val="28"/>
        </w:rPr>
        <w:t xml:space="preserve">утвердить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программу профилактики рисков причинения вреда  (ущерба) охраняемым законом ценностям на 2022 год</w:t>
      </w:r>
      <w:r>
        <w:rPr>
          <w:rFonts w:ascii="PT Astra Serif" w:hAnsi="PT Astra Serif"/>
          <w:sz w:val="28"/>
          <w:szCs w:val="28"/>
        </w:rPr>
        <w:t xml:space="preserve"> (Приложение).</w:t>
      </w:r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2. Климанову Андрею Валерьевичу, главному специалисту комитета кадровой политики и организационно-правовой работы Департамента по культуре Томской области, разместить данное распоряжение на официальном сайте Департамента по культуре Томской области</w:t>
      </w:r>
      <w:r>
        <w:rPr>
          <w:rFonts w:eastAsia="Calibri" w:ascii="PT Astra Serif" w:hAnsi="PT Astra Serif"/>
          <w:sz w:val="28"/>
          <w:szCs w:val="28"/>
        </w:rPr>
        <w:t>.</w:t>
      </w:r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8"/>
          <w:szCs w:val="28"/>
          <w:highlight w:val="white"/>
        </w:rPr>
        <w:t>3. Контроль за исполнением настоящего распоряжения оставляю за собой.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19"/>
        <w:bidi w:val="0"/>
        <w:ind w:left="0" w:right="0" w:hanging="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Начальник Департамента</w:t>
        <w:tab/>
        <w:t xml:space="preserve">  </w:t>
        <w:tab/>
        <w:tab/>
        <w:t xml:space="preserve">                                                 П.Л.Волк</w:t>
        <w:br/>
      </w:r>
    </w:p>
    <w:p>
      <w:pPr>
        <w:pStyle w:val="Style19"/>
        <w:bidi w:val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</w:rPr>
      </w:pPr>
      <w:r>
        <w:rPr>
          <w:rFonts w:ascii="PT Astra Serif" w:hAnsi="PT Astra Serif"/>
          <w:sz w:val="20"/>
          <w:szCs w:val="20"/>
        </w:rPr>
        <w:t>Л.В.Кодочигова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Приложение к распоряжению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Департамента по культуре Томской области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от _______________№_________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eastAsia="Times New Roman" w:cs="Times New Roman"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Программа профилактики рисков причинения вреда  (ущерба)</w:t>
      </w:r>
    </w:p>
    <w:p>
      <w:pPr>
        <w:pStyle w:val="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eastAsia="Times New Roman" w:cs="Times New Roman"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охраняемым законом ценностям на 2022 год </w:t>
      </w:r>
    </w:p>
    <w:p>
      <w:pPr>
        <w:pStyle w:val="ConsPlusNormal"/>
        <w:bidi w:val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Общие положения</w:t>
      </w:r>
    </w:p>
    <w:p>
      <w:pPr>
        <w:pStyle w:val="ConsPlusNormal"/>
        <w:bidi w:val="0"/>
        <w:ind w:left="0" w:right="0" w:firstLine="851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bidi w:val="0"/>
        <w:ind w:left="0" w:right="0" w:firstLine="851"/>
        <w:jc w:val="both"/>
        <w:rPr/>
      </w:pPr>
      <w:r>
        <w:rPr>
          <w:rFonts w:cs="Times New Roman" w:ascii="PT Astra Serif" w:hAnsi="PT Astra Serif"/>
          <w:sz w:val="28"/>
          <w:szCs w:val="28"/>
        </w:rPr>
        <w:t xml:space="preserve">Настоящая </w:t>
      </w:r>
      <w:bookmarkStart w:id="1" w:name="__DdeLink__632_1561618546"/>
      <w:bookmarkEnd w:id="1"/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программа профилактики рисков причинения вреда  (ущерба) охраняемым законом ценностям на 2022 год</w:t>
      </w:r>
      <w:bookmarkStart w:id="2" w:name="__DdeLink__4307_3445295840"/>
      <w:r>
        <w:rPr>
          <w:rFonts w:cs="Times New Roman" w:ascii="PT Astra Serif" w:hAnsi="PT Astra Serif"/>
          <w:sz w:val="28"/>
          <w:szCs w:val="28"/>
        </w:rPr>
        <w:t xml:space="preserve"> </w:t>
      </w:r>
      <w:bookmarkEnd w:id="2"/>
      <w:r>
        <w:rPr>
          <w:rFonts w:cs="Times New Roman" w:ascii="PT Astra Serif" w:hAnsi="PT Astra Serif"/>
          <w:sz w:val="28"/>
          <w:szCs w:val="28"/>
        </w:rPr>
        <w:t xml:space="preserve">(далее – Программа), разработана в целях предупреждения нарушения юридическими лицами и индивидуальными предпринимателями (далее –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контролируемые лица</w:t>
      </w:r>
      <w:r>
        <w:rPr>
          <w:rFonts w:cs="Times New Roman" w:ascii="PT Astra Serif" w:hAnsi="PT Astra Serif"/>
          <w:sz w:val="28"/>
          <w:szCs w:val="28"/>
        </w:rPr>
        <w:t>) обязательных требований,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cs="Times New Roman" w:ascii="PT Astra Serif" w:hAnsi="PT Astra Serif"/>
          <w:sz w:val="28"/>
          <w:szCs w:val="28"/>
        </w:rPr>
        <w:t xml:space="preserve">соблюдение которых оценивается Департаментом по культуре Томской области (далее – Департамент) при осуществлении регионального государственного контроля (надзора) за соблюдением законодательства об архивном деле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на территории</w:t>
      </w:r>
      <w:r>
        <w:rPr>
          <w:rFonts w:cs="Times New Roman" w:ascii="PT Astra Serif" w:hAnsi="PT Astra Serif"/>
          <w:sz w:val="28"/>
          <w:szCs w:val="28"/>
        </w:rPr>
        <w:t xml:space="preserve"> Томской области (далее – контроль), устранения причин, факторов и условий, способствующих нарушению таких обязательных требований.</w:t>
      </w:r>
    </w:p>
    <w:p>
      <w:pPr>
        <w:pStyle w:val="ConsPlusNormal"/>
        <w:bidi w:val="0"/>
        <w:ind w:left="0" w:right="0" w:firstLine="851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Организация и проведение профилактических мероприятий Департамента, направленных на предупреждение нарушения обязательных требований, осуществляется ответственными исполнителями на основании соответствующего плана-графика, ежегодно разрабатываемого Департаментом.</w:t>
      </w:r>
    </w:p>
    <w:p>
      <w:pPr>
        <w:pStyle w:val="ConsPlusNormal"/>
        <w:bidi w:val="0"/>
        <w:ind w:left="0" w:right="0" w:firstLine="851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Департамент ежегодно в срок до 1 февраля года, следующего за годом утверждения Программы, готовит доклад об итогах профилактических работ за год. Доклад об итогах профилактической работы должен включать в себя результаты мониторинга и уровня развития Программы и эффективности и результативности профилактических мероприятий.</w:t>
      </w:r>
    </w:p>
    <w:p>
      <w:pPr>
        <w:pStyle w:val="ConsPlusNormal"/>
        <w:bidi w:val="0"/>
        <w:ind w:left="0" w:right="0" w:firstLine="851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Информация о текущих результатах профилактической работы, готовящихся и состоявшихся профилактических мероприятиях, а также Программа должны размещаться на официальном сайте Департамента.</w:t>
      </w:r>
    </w:p>
    <w:p>
      <w:pPr>
        <w:pStyle w:val="ConsPlusNormal"/>
        <w:bidi w:val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Анализ текущего состояния регионального государственного </w:t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контроля (надзора) за соблюдением законодательства об архивном деле </w:t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и развития профилактической деятельности Департамента</w:t>
      </w:r>
    </w:p>
    <w:p>
      <w:pPr>
        <w:pStyle w:val="ConsPlusNormal"/>
        <w:bidi w:val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31"/>
        <w:shd w:val="clear" w:fill="FFFFFF"/>
        <w:spacing w:lineRule="auto" w:line="240"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деятельности организаций ежегодно образуется значительный объем документов, имеющих историческую ценность и социальную значимость. Во всех организациях создаются личные дела работников, лицевые счета и другие документы, подтверждающие размер заработной платы, документы о награждении. Организации-источники комплектования государственных и муниципальных архивов создают документы, которые могут быть включены в состав Архивного фонда Российской Федерации и в дальнейшем отнесены к числу особо ценных и уникальных документов Томской области.  Государственные и муниципальные архивы осуществляют хранение, комплектование, учет и использование документов Архивного фонда Российской Федерации и других архивных документов. </w:t>
      </w:r>
    </w:p>
    <w:p>
      <w:pPr>
        <w:pStyle w:val="31"/>
        <w:shd w:val="clear" w:fill="FFFFFF"/>
        <w:spacing w:lineRule="auto" w:line="240"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Во многих организациях финансирование деятельности по упорядочению документов и обеспечение надлежащих условий хранения осуществляется по остаточному принципу, нагрузка по осуществлению этой деятельности возлагается дополнительно на специалистов, имеющих другие должностные обязанности. Это влечет нарушение законодательства об архивном деле: не производится экспертиза ценности, дела хранятся неоформленные и не описанные, что создает сложности для поиска необходимых документов и может повлечь нарушение прав граждан и организаций на предоставление информации. Ненадлежащие условия хранения создают угрозу утраты архивных документов, их физического и биологического повреждения. </w:t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Наиболее значимыми рисками деятельности в сфере архивного дела являются: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3" w:leader="none"/>
        </w:tabs>
        <w:ind w:left="0" w:right="0" w:firstLine="709"/>
        <w:jc w:val="both"/>
        <w:rPr/>
      </w:pPr>
      <w:r>
        <w:rPr>
          <w:rFonts w:ascii="PT Astra Serif" w:hAnsi="PT Astra Serif"/>
          <w:sz w:val="28"/>
          <w:szCs w:val="28"/>
        </w:rPr>
        <w:t>утрата документов Архивного фонда Российской Федерации и других архивных документов, их физическое или биологическое повреждение. В соответствии со статьей 17 Федерального закона от 22 октября 2004 года №125-ФЗ «Об архивном деле в Российской Федерации» (далее – Федеральный закон №125-ФЗ) г</w:t>
      </w:r>
      <w:r>
        <w:rPr>
          <w:rFonts w:eastAsia="Calibri" w:ascii="PT Astra Serif" w:hAnsi="PT Astra Serif"/>
          <w:sz w:val="28"/>
          <w:szCs w:val="28"/>
          <w:lang w:eastAsia="en-US"/>
        </w:rPr>
        <w:t xml:space="preserve">осударственные органы, органы местного самоуправления, организации и граждане, занимающиеся предпринимательской деятельностью без образования юридического лица, обязаны обеспечивать сохранность архивных документов, в том числе документов по личному составу, в течение </w:t>
      </w:r>
      <w:hyperlink r:id="rId2">
        <w:r>
          <w:rPr>
            <w:rFonts w:eastAsia="Calibri" w:ascii="PT Astra Serif" w:hAnsi="PT Astra Serif"/>
            <w:sz w:val="28"/>
            <w:szCs w:val="28"/>
            <w:lang w:eastAsia="en-US"/>
          </w:rPr>
          <w:t>сроков</w:t>
        </w:r>
      </w:hyperlink>
      <w:r>
        <w:rPr>
          <w:rFonts w:eastAsia="Calibri" w:ascii="PT Astra Serif" w:hAnsi="PT Astra Serif"/>
          <w:sz w:val="28"/>
          <w:szCs w:val="28"/>
          <w:lang w:eastAsia="en-US"/>
        </w:rPr>
        <w:t xml:space="preserve"> их хранения, установленных федеральными законами или иными нормативными правовыми актами Российской Федерации. </w:t>
      </w:r>
      <w:r>
        <w:rPr>
          <w:rFonts w:ascii="PT Astra Serif" w:hAnsi="PT Astra Serif"/>
          <w:sz w:val="28"/>
          <w:szCs w:val="28"/>
        </w:rPr>
        <w:t>Г</w:t>
      </w:r>
      <w:r>
        <w:rPr>
          <w:rFonts w:eastAsia="Calibri" w:ascii="PT Astra Serif" w:hAnsi="PT Astra Serif"/>
          <w:sz w:val="28"/>
          <w:szCs w:val="28"/>
          <w:lang w:eastAsia="en-US"/>
        </w:rPr>
        <w:t xml:space="preserve">осударственные органы, органы местного самоуправления, организации и граждане, занимающиеся предпринимательской деятельностью без образования юридического лица, являющиеся источниками комплектования государственных (муниципальных) архивов, обязаны также передавать документы Архивного фонда Российской Федерации на постоянное хранение в государственные (муниципальные) архивы. </w:t>
      </w:r>
      <w:r>
        <w:rPr>
          <w:rFonts w:ascii="PT Astra Serif" w:hAnsi="PT Astra Serif"/>
          <w:sz w:val="28"/>
          <w:szCs w:val="28"/>
        </w:rPr>
        <w:t>Несоблюдение этих обязанностей, либо ненадлежащее их соблюдение может повлечь утрату исторически значимой информации;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нарушение конституционного права граждан и организаций на получение информации. Утрата документов Архивного фонда Российской Федерации и других архивных документов, их физическое или биологическое повреждение влечет не только утрату исторически значимой информации, она также создает трудности или делает невозможным реализацию права граждан и организаций на получение информации, что, в свою очередь, может повлечь невозможность подтверждения трудового стажа, размера заработной платы, фактов награждения и негативно сказаться на качестве жизни граждан.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Федеральным законом №125-ФЗ предусмотрено осуществление контроля уполномоченными органами исполнительной власти субъектов Российской Федерации в области архивного дела за 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соблюдением обязательных </w:t>
      </w: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>требований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, установленных в соответствии с федеральными законами Российской Федерации и иными нормативными правовыми актами Российской Федерации, законами субъектов Российской Федерации и иными нормативными правовыми актами субъектов Российской Федерации, к организации хранения, комплектования, учета и использования документов Архивного фонда Российской Федерации и других архивных документов на территории соответствующего субъекта Российской Федерации, за исключением случаев, указанных в </w:t>
      </w:r>
      <w:r>
        <w:rPr>
          <w:rFonts w:ascii="PT Astra Serif" w:hAnsi="PT Astra Serif"/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</w:rPr>
        <w:t>пункте 1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 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ru-RU" w:eastAsia="zh-CN" w:bidi="ar-SA"/>
        </w:rPr>
        <w:t>части 2 статьи 16 Федерального закона № 125-ФЗ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>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3">
        <w:r>
          <w:rPr>
            <w:rFonts w:eastAsia="Calibri" w:ascii="PT Astra Serif" w:hAnsi="PT Astra Serif"/>
            <w:sz w:val="28"/>
            <w:szCs w:val="28"/>
          </w:rPr>
          <w:t xml:space="preserve"> </w:t>
        </w:r>
        <w:r>
          <w:rPr>
            <w:rFonts w:ascii="PT Astra Serif" w:hAnsi="PT Astra Serif"/>
            <w:bCs/>
            <w:sz w:val="28"/>
            <w:szCs w:val="28"/>
          </w:rPr>
          <w:t xml:space="preserve">Положение о </w:t>
        </w:r>
        <w:r>
          <w:rPr>
            <w:rFonts w:ascii="PT Astra Serif" w:hAnsi="PT Astra Serif"/>
            <w:sz w:val="28"/>
            <w:szCs w:val="28"/>
          </w:rPr>
          <w:t>Департаменте по культуре Томской области, утвержденное п</w:t>
        </w:r>
        <w:r>
          <w:rPr>
            <w:rFonts w:ascii="PT Astra Serif" w:hAnsi="PT Astra Serif"/>
            <w:bCs/>
            <w:sz w:val="28"/>
            <w:szCs w:val="28"/>
          </w:rPr>
          <w:t>остановлением Губернатора</w:t>
        </w:r>
        <w:r>
          <w:rPr>
            <w:rFonts w:ascii="PT Astra Serif" w:hAnsi="PT Astra Serif"/>
            <w:sz w:val="28"/>
            <w:szCs w:val="28"/>
          </w:rPr>
          <w:t xml:space="preserve"> Томской области</w:t>
        </w:r>
        <w:r>
          <w:rPr>
            <w:rFonts w:ascii="PT Astra Serif" w:hAnsi="PT Astra Serif"/>
            <w:bCs/>
            <w:sz w:val="28"/>
            <w:szCs w:val="28"/>
          </w:rPr>
          <w:t xml:space="preserve"> от 14 ноября 2012 года №158, определяет, что таким органом государственной власти, уполномоченным осуществлять контроль </w:t>
        </w:r>
        <w:r>
          <w:rPr>
            <w:rFonts w:ascii="PT Astra Serif" w:hAnsi="PT Astra Serif"/>
            <w:sz w:val="28"/>
            <w:szCs w:val="28"/>
          </w:rPr>
          <w:t>за соблюдением законодательства об архивном деле</w:t>
        </w:r>
        <w:r>
          <w:rPr>
            <w:rFonts w:ascii="PT Astra Serif" w:hAnsi="PT Astra Serif"/>
            <w:bCs/>
            <w:sz w:val="28"/>
            <w:szCs w:val="28"/>
          </w:rPr>
          <w:t xml:space="preserve"> на территории Томской области является Департамент по культуре Томской области.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Контроль направлен на реализацию мер по контролю за соблюдением архивного законодательства и уменьшения вреда от нарушения этого законодательства государству и гражданам.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Результаты контроля характеризуются следующими данными.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tbl>
      <w:tblPr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3"/>
        <w:gridCol w:w="1273"/>
        <w:gridCol w:w="1420"/>
        <w:gridCol w:w="1273"/>
        <w:gridCol w:w="1428"/>
      </w:tblGrid>
      <w:tr>
        <w:trPr/>
        <w:tc>
          <w:tcPr>
            <w:tcW w:w="4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проверок в</w:t>
            </w:r>
          </w:p>
        </w:tc>
      </w:tr>
      <w:tr>
        <w:trPr/>
        <w:tc>
          <w:tcPr>
            <w:tcW w:w="4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2018 </w:t>
            </w:r>
            <w:r>
              <w:rPr>
                <w:rFonts w:ascii="PT Astra Serif" w:hAnsi="PT Astra Serif"/>
                <w:sz w:val="28"/>
                <w:szCs w:val="28"/>
              </w:rPr>
              <w:t>г.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2019 </w:t>
            </w:r>
            <w:r>
              <w:rPr>
                <w:rFonts w:ascii="PT Astra Serif" w:hAnsi="PT Astra Serif"/>
                <w:sz w:val="28"/>
                <w:szCs w:val="28"/>
              </w:rPr>
              <w:t>г.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2020 г.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 г.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Всего проведено проверок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68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86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30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отношении юридических лиц и индивидуальных предпринимателей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том числе: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firstLine="28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плановые проверки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firstLine="28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внеплановые проверки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68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42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26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86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67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14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9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30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28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отношении органов местного самоуправления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−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−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−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−</w:t>
            </w:r>
          </w:p>
        </w:tc>
      </w:tr>
    </w:tbl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4">
        <w:r>
          <w:rPr>
            <w:rFonts w:ascii="PT Astra Serif" w:hAnsi="PT Astra Serif"/>
            <w:sz w:val="28"/>
            <w:szCs w:val="28"/>
          </w:rPr>
          <w:t>В результате проверок установлены нарушения обязательных требований.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tbl>
      <w:tblPr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3"/>
        <w:gridCol w:w="1273"/>
        <w:gridCol w:w="1420"/>
        <w:gridCol w:w="1273"/>
        <w:gridCol w:w="1428"/>
      </w:tblGrid>
      <w:tr>
        <w:trPr/>
        <w:tc>
          <w:tcPr>
            <w:tcW w:w="4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нарушения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5">
              <w:r>
                <w:rPr>
                  <w:rFonts w:ascii="PT Astra Serif" w:hAnsi="PT Astra Serif"/>
                  <w:sz w:val="28"/>
                  <w:szCs w:val="28"/>
                </w:rPr>
                <w:t>Количество нарушений в</w:t>
              </w:r>
            </w:hyperlink>
          </w:p>
        </w:tc>
      </w:tr>
      <w:tr>
        <w:trPr/>
        <w:tc>
          <w:tcPr>
            <w:tcW w:w="4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2018 </w:t>
            </w:r>
            <w:r>
              <w:rPr>
                <w:rFonts w:ascii="PT Astra Serif" w:hAnsi="PT Astra Serif"/>
                <w:sz w:val="28"/>
                <w:szCs w:val="28"/>
              </w:rPr>
              <w:t>г.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2019 </w:t>
            </w:r>
            <w:r>
              <w:rPr>
                <w:rFonts w:ascii="PT Astra Serif" w:hAnsi="PT Astra Serif"/>
                <w:sz w:val="28"/>
                <w:szCs w:val="28"/>
              </w:rPr>
              <w:t>г.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2020 г.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  г.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 проведена экспертиза ценности документов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16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10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6">
              <w:r>
                <w:rPr>
                  <w:rFonts w:ascii="PT Astra Serif" w:hAnsi="PT Astra Serif"/>
                  <w:sz w:val="28"/>
                  <w:szCs w:val="28"/>
                </w:rPr>
                <w:t>Не проведено полное оформление документов постоянного хранения и/или по личному составу</w:t>
              </w:r>
            </w:hyperlink>
          </w:p>
          <w:p>
            <w:pPr>
              <w:pStyle w:val="Normal"/>
              <w:ind w:left="0" w:right="0" w:firstLine="284"/>
              <w:rPr>
                <w:rFonts w:ascii="PT Astra Serif" w:hAnsi="PT Astra Serif"/>
              </w:rPr>
            </w:pPr>
            <w:hyperlink r:id="rId7">
              <w:r>
                <w:rPr>
                  <w:rFonts w:ascii="PT Astra Serif" w:hAnsi="PT Astra Serif"/>
                  <w:sz w:val="28"/>
                  <w:szCs w:val="28"/>
                </w:rPr>
                <w:t>в том числе более 10 лет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8">
              <w:r>
                <w:rPr>
                  <w:rFonts w:ascii="PT Astra Serif" w:hAnsi="PT Astra Serif"/>
                  <w:sz w:val="28"/>
                  <w:szCs w:val="28"/>
                </w:rPr>
                <w:t>21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9">
              <w:r>
                <w:rPr>
                  <w:rFonts w:ascii="PT Astra Serif" w:hAnsi="PT Astra Serif"/>
                  <w:sz w:val="28"/>
                  <w:szCs w:val="28"/>
                </w:rPr>
                <w:t>9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42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0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25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1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</w:t>
            </w:r>
            <w:r>
              <w:rPr>
                <w:rFonts w:eastAsia="Times New Roman" w:cs="Times New Roman" w:ascii="PT Astra Serif" w:hAnsi="PT Astra Serif"/>
                <w:color w:val="auto"/>
                <w:kern w:val="0"/>
                <w:sz w:val="28"/>
                <w:szCs w:val="28"/>
                <w:lang w:val="ru-RU" w:eastAsia="zh-CN" w:bidi="ar-SA"/>
              </w:rPr>
              <w:t>3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4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2">
              <w:r>
                <w:rPr>
                  <w:rFonts w:ascii="PT Astra Serif" w:hAnsi="PT Astra Serif"/>
                  <w:sz w:val="28"/>
                  <w:szCs w:val="28"/>
                </w:rPr>
                <w:t>Не составлены описи дел постоянного хранения и/или по личному составу</w:t>
              </w:r>
            </w:hyperlink>
          </w:p>
          <w:p>
            <w:pPr>
              <w:pStyle w:val="Normal"/>
              <w:ind w:left="0" w:right="0" w:firstLine="284"/>
              <w:rPr>
                <w:rFonts w:ascii="PT Astra Serif" w:hAnsi="PT Astra Serif"/>
              </w:rPr>
            </w:pPr>
            <w:hyperlink r:id="rId13">
              <w:r>
                <w:rPr>
                  <w:rFonts w:ascii="PT Astra Serif" w:hAnsi="PT Astra Serif"/>
                  <w:sz w:val="28"/>
                  <w:szCs w:val="28"/>
                </w:rPr>
                <w:t>в том числе более 10 лет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4">
              <w:r>
                <w:rPr>
                  <w:rFonts w:ascii="PT Astra Serif" w:hAnsi="PT Astra Serif"/>
                  <w:sz w:val="28"/>
                  <w:szCs w:val="28"/>
                </w:rPr>
                <w:t>30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5">
              <w:r>
                <w:rPr>
                  <w:rFonts w:ascii="PT Astra Serif" w:hAnsi="PT Astra Serif"/>
                  <w:sz w:val="28"/>
                  <w:szCs w:val="28"/>
                </w:rPr>
                <w:t>11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6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48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7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2</w:t>
              </w:r>
              <w:r>
                <w:rPr>
                  <w:rFonts w:ascii="PT Astra Serif" w:hAnsi="PT Astra Serif"/>
                  <w:sz w:val="28"/>
                  <w:szCs w:val="28"/>
                </w:rPr>
                <w:t>6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8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4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9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0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16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5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21">
              <w:r>
                <w:rPr>
                  <w:rFonts w:ascii="PT Astra Serif" w:hAnsi="PT Astra Serif"/>
                  <w:sz w:val="28"/>
                  <w:szCs w:val="28"/>
                </w:rPr>
                <w:t>Нарушен установленный порядок хранения архивных документов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2">
              <w:r>
                <w:rPr>
                  <w:rFonts w:ascii="PT Astra Serif" w:hAnsi="PT Astra Serif"/>
                  <w:sz w:val="28"/>
                  <w:szCs w:val="28"/>
                </w:rPr>
                <w:t>10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3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26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4">
              <w:r>
                <w:rPr>
                  <w:rFonts w:eastAsia="Times New Roman" w:cs="Times New Roman" w:ascii="PT Astra Serif" w:hAnsi="PT Astra Serif"/>
                  <w:color w:val="auto"/>
                  <w:kern w:val="0"/>
                  <w:sz w:val="28"/>
                  <w:szCs w:val="28"/>
                  <w:lang w:val="ru-RU" w:eastAsia="ru-RU" w:bidi="ar-SA"/>
                </w:rPr>
                <w:t>2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5">
              <w:r>
                <w:rPr>
                  <w:rFonts w:eastAsia="Times New Roman" w:cs="Times New Roman" w:ascii="PT Astra Serif" w:hAnsi="PT Astra Serif"/>
                  <w:color w:val="auto"/>
                  <w:kern w:val="0"/>
                  <w:sz w:val="28"/>
                  <w:szCs w:val="28"/>
                  <w:lang w:val="ru-RU" w:eastAsia="ru-RU" w:bidi="ar-SA"/>
                </w:rPr>
                <w:t>8</w:t>
              </w:r>
            </w:hyperlink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26">
              <w:r>
                <w:rPr>
                  <w:rFonts w:ascii="PT Astra Serif" w:hAnsi="PT Astra Serif"/>
                  <w:sz w:val="28"/>
                  <w:szCs w:val="28"/>
                </w:rPr>
                <w:t>Нарушен порядок составления и/или внедрения номенклатуры дел</w:t>
              </w:r>
            </w:hyperlink>
          </w:p>
          <w:p>
            <w:pPr>
              <w:pStyle w:val="Normal"/>
              <w:ind w:left="0" w:right="0" w:firstLine="284"/>
              <w:rPr>
                <w:rFonts w:ascii="PT Astra Serif" w:hAnsi="PT Astra Serif"/>
              </w:rPr>
            </w:pPr>
            <w:hyperlink r:id="rId27">
              <w:r>
                <w:rPr>
                  <w:rFonts w:ascii="PT Astra Serif" w:hAnsi="PT Astra Serif"/>
                  <w:sz w:val="28"/>
                  <w:szCs w:val="28"/>
                </w:rPr>
                <w:t>в том числе нарушены сроки согласования номенклатуры дел с ЭПК Департамента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8">
              <w:r>
                <w:rPr>
                  <w:rFonts w:ascii="PT Astra Serif" w:hAnsi="PT Astra Serif"/>
                  <w:sz w:val="28"/>
                  <w:szCs w:val="28"/>
                </w:rPr>
                <w:t>9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9">
              <w:r>
                <w:rPr>
                  <w:rFonts w:ascii="PT Astra Serif" w:hAnsi="PT Astra Serif"/>
                  <w:sz w:val="28"/>
                  <w:szCs w:val="28"/>
                </w:rPr>
                <w:t>−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0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23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1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7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2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/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3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−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4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3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35">
              <w:r>
                <w:rPr>
                  <w:rFonts w:ascii="PT Astra Serif" w:hAnsi="PT Astra Serif"/>
                  <w:sz w:val="28"/>
                  <w:szCs w:val="28"/>
                </w:rPr>
                <w:t>В архивохранилище отсутствуют архивные документы. Более 10 лет не проводилась проверка наличия и состояния документов.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6">
              <w:r>
                <w:rPr>
                  <w:rFonts w:ascii="PT Astra Serif" w:hAnsi="PT Astra Serif"/>
                  <w:sz w:val="28"/>
                  <w:szCs w:val="28"/>
                </w:rPr>
                <w:t>−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7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6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8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−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39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40">
              <w:r>
                <w:rPr>
                  <w:rFonts w:ascii="PT Astra Serif" w:hAnsi="PT Astra Serif"/>
                  <w:sz w:val="28"/>
                  <w:szCs w:val="28"/>
                </w:rPr>
                <w:t>Нарушены сроки передачи документов на постоянное хранение в государственный (муниципальный) архив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1">
              <w:r>
                <w:rPr>
                  <w:rFonts w:ascii="PT Astra Serif" w:hAnsi="PT Astra Serif"/>
                  <w:sz w:val="28"/>
                  <w:szCs w:val="28"/>
                </w:rPr>
                <w:t>2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2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4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3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4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</w:tr>
      <w:tr>
        <w:trPr/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45">
              <w:r>
                <w:rPr>
                  <w:rFonts w:ascii="PT Astra Serif" w:hAnsi="PT Astra Serif"/>
                  <w:sz w:val="28"/>
                  <w:szCs w:val="28"/>
                </w:rPr>
                <w:t>Нарушение правил оформления дел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6">
              <w:r>
                <w:rPr>
                  <w:rFonts w:ascii="PT Astra Serif" w:hAnsi="PT Astra Serif"/>
                  <w:sz w:val="28"/>
                  <w:szCs w:val="28"/>
                </w:rPr>
                <w:t>8</w:t>
              </w:r>
            </w:hyperlink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7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5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8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49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2</w:t>
              </w:r>
            </w:hyperlink>
          </w:p>
        </w:tc>
      </w:tr>
    </w:tbl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50">
        <w:r>
          <w:rPr>
            <w:rFonts w:ascii="PT Astra Serif" w:hAnsi="PT Astra Serif"/>
            <w:sz w:val="28"/>
            <w:szCs w:val="28"/>
          </w:rPr>
          <w:t>По результатам проверок в связи с выявленными нарушениями обязательных требований Департаментом было вынесено предписаний: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51">
        <w:r>
          <w:rPr>
            <w:rFonts w:ascii="PT Astra Serif" w:hAnsi="PT Astra Serif"/>
            <w:sz w:val="28"/>
            <w:szCs w:val="28"/>
          </w:rPr>
          <w:t xml:space="preserve">− </w:t>
        </w:r>
        <w:r>
          <w:rPr>
            <w:rFonts w:ascii="PT Astra Serif" w:hAnsi="PT Astra Serif"/>
            <w:sz w:val="28"/>
            <w:szCs w:val="28"/>
          </w:rPr>
          <w:t>в 2018 году – 33;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52">
        <w:r>
          <w:rPr>
            <w:rFonts w:ascii="PT Astra Serif" w:hAnsi="PT Astra Serif"/>
            <w:sz w:val="28"/>
            <w:szCs w:val="28"/>
          </w:rPr>
          <w:t xml:space="preserve">− </w:t>
        </w:r>
        <w:r>
          <w:rPr>
            <w:rFonts w:ascii="PT Astra Serif" w:hAnsi="PT Astra Serif"/>
            <w:sz w:val="28"/>
            <w:szCs w:val="28"/>
          </w:rPr>
          <w:t>в 2019 год</w:t>
        </w:r>
        <w:r>
          <w:rPr>
            <w:rFonts w:ascii="PT Astra Serif" w:hAnsi="PT Astra Serif"/>
            <w:sz w:val="28"/>
            <w:szCs w:val="28"/>
            <w:lang w:val="ru-RU"/>
          </w:rPr>
          <w:t>у</w:t>
        </w:r>
        <w:r>
          <w:rPr>
            <w:rFonts w:ascii="PT Astra Serif" w:hAnsi="PT Astra Serif"/>
            <w:sz w:val="28"/>
            <w:szCs w:val="28"/>
          </w:rPr>
          <w:t xml:space="preserve"> – </w:t>
        </w:r>
        <w:r>
          <w:rPr>
            <w:rFonts w:ascii="PT Astra Serif" w:hAnsi="PT Astra Serif"/>
            <w:sz w:val="28"/>
            <w:szCs w:val="28"/>
            <w:lang w:val="ru-RU"/>
          </w:rPr>
          <w:t>55</w:t>
        </w:r>
        <w:r>
          <w:rPr>
            <w:rFonts w:ascii="PT Astra Serif" w:hAnsi="PT Astra Serif"/>
            <w:sz w:val="28"/>
            <w:szCs w:val="28"/>
          </w:rPr>
          <w:t>;</w:t>
        </w:r>
      </w:hyperlink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left"/>
        <w:rPr>
          <w:rFonts w:ascii="PT Astra Serif" w:hAnsi="PT Astra Serif"/>
        </w:rPr>
      </w:pPr>
      <w:hyperlink r:id="rId53">
        <w:r>
          <w:rPr>
            <w:rFonts w:ascii="PT Astra Serif" w:hAnsi="PT Astra Serif"/>
            <w:sz w:val="28"/>
            <w:szCs w:val="28"/>
          </w:rPr>
          <w:t xml:space="preserve">− </w:t>
        </w:r>
        <w:r>
          <w:rPr>
            <w:rFonts w:ascii="PT Astra Serif" w:hAnsi="PT Astra Serif"/>
            <w:sz w:val="28"/>
            <w:szCs w:val="28"/>
          </w:rPr>
          <w:t>в 2020 году – 4</w:t>
        </w:r>
      </w:hyperlink>
      <w:r>
        <w:rPr>
          <w:rFonts w:ascii="PT Astra Serif" w:hAnsi="PT Astra Serif"/>
          <w:sz w:val="28"/>
          <w:szCs w:val="28"/>
        </w:rPr>
        <w:t>;</w:t>
      </w:r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left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– </w:t>
      </w:r>
      <w:r>
        <w:rPr>
          <w:rFonts w:ascii="PT Astra Serif" w:hAnsi="PT Astra Serif"/>
          <w:sz w:val="28"/>
          <w:szCs w:val="28"/>
        </w:rPr>
        <w:t>в 2021 году – 20.</w:t>
      </w:r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Снижение количества проверок в 2020 году обусловлено мораторием на проверки, введенным Постановлением Правительства РФ от 3 апреля 2020 г. № 438 «Об особенностях осуществления в 2020 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В целях профилактики нарушений обязательных требований Департаментом проведены следующие профилактические мероприятия: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>—</w:t>
      </w:r>
      <w:r>
        <w:rPr>
          <w:rFonts w:eastAsia="Tahoma" w:cs="Calibri"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актуализирован и размещён на официальном сайте Департамента Перечень актов, содержащих обязательные требования, соблюдение которых оценивается при проведении мероприятий по контролю при осуществлении регионального государственного контроля за соблюдением законодательства об архивном деле;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>разработана и размещена на официальном сайте Департамента ведомственная программа профилактики нарушений обязательных требований на 202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</w:rPr>
        <w:t>0</w:t>
      </w:r>
      <w:r>
        <w:rPr>
          <w:rFonts w:ascii="PT Astra Serif" w:hAnsi="PT Astra Serif"/>
          <w:sz w:val="28"/>
          <w:szCs w:val="28"/>
        </w:rPr>
        <w:t xml:space="preserve"> год и плановые 2021–2022 годы;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>проведено обобщение и анализ правоприменительной практики осуществления регионального государственного контроля за соблюдением законодательства об архивном деле в 20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20</w:t>
      </w:r>
      <w:r>
        <w:rPr>
          <w:rFonts w:ascii="PT Astra Serif" w:hAnsi="PT Astra Serif"/>
          <w:sz w:val="28"/>
          <w:szCs w:val="28"/>
        </w:rPr>
        <w:t xml:space="preserve"> году, на официальном сайте Департамента размещён обзор обобщения и анализа правоприменительной практики осуществления регионального государственного контроля за соблюдением законодательства об архивном деле за 20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20</w:t>
      </w:r>
      <w:r>
        <w:rPr>
          <w:rFonts w:ascii="PT Astra Serif" w:hAnsi="PT Astra Serif"/>
          <w:sz w:val="28"/>
          <w:szCs w:val="28"/>
        </w:rPr>
        <w:t xml:space="preserve"> год;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>проведёно три обучающих семинара для специалистов, ответственных за ведение делопроизводства и учёт, хранения, комплектование и использование архивных документов в организациях;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hyperlink r:id="rId54">
        <w:r>
          <w:rPr>
            <w:rFonts w:eastAsia="PT Astra Serif" w:cs="PT Astra Serif" w:ascii="PT Astra Serif" w:hAnsi="PT Astra Serif"/>
            <w:sz w:val="28"/>
            <w:szCs w:val="28"/>
          </w:rPr>
          <w:t xml:space="preserve">— </w:t>
        </w:r>
        <w:r>
          <w:rPr>
            <w:rFonts w:ascii="PT Astra Serif" w:hAnsi="PT Astra Serif"/>
            <w:sz w:val="28"/>
            <w:szCs w:val="28"/>
          </w:rPr>
          <w:t>подготовлены обзоры изменений в законодательстве и размещены на сайте вместе с ссылками на нормативные и методические документы</w:t>
        </w:r>
      </w:hyperlink>
      <w:hyperlink r:id="rId55">
        <w:r>
          <w:rPr>
            <w:rFonts w:ascii="PT Astra Serif" w:hAnsi="PT Astra Serif"/>
            <w:sz w:val="28"/>
            <w:szCs w:val="28"/>
          </w:rPr>
          <w:t>.</w:t>
        </w:r>
      </w:hyperlink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При осуществлении контрольных мероприятий специалистами комитета по делам архивов Департамента проводятся консультации по разъяснению обязательных требований. 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Указанные меры ведут к росту уровня знаний о требованиях, предъявляемых нормативными правовыми актами в сфере архивного дела, что, в свою очередь, приводит к снижению количества выявляемых нарушений. Наибольшую пользу приносят, как показывает практика, проводимые специалистами комитета по делам архивов семинары.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hyperlink r:id="rId56">
        <w:r>
          <w:rPr>
            <w:rFonts w:ascii="PT Astra Serif" w:hAnsi="PT Astra Serif"/>
            <w:sz w:val="28"/>
            <w:szCs w:val="28"/>
          </w:rPr>
          <w:t xml:space="preserve">Обучающие семинары для должностных лиц, ответственных за делопроизводство и архив направлены на получение указанными лицами представления о порядке работы с документами, как на стадии текущего делопроизводства, так и позднее, при создании архивного фонда организации. </w:t>
        </w:r>
      </w:hyperlink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center"/>
        <w:rPr>
          <w:rFonts w:ascii="PT Astra Serif" w:hAnsi="PT Astra Serif"/>
        </w:rPr>
      </w:pPr>
      <w:hyperlink r:id="rId57">
        <w:r>
          <w:rPr>
            <w:rFonts w:ascii="PT Astra Serif" w:hAnsi="PT Astra Serif"/>
            <w:sz w:val="28"/>
            <w:szCs w:val="28"/>
          </w:rPr>
          <w:t>Основные цели и задачи проведения профилактической работы</w:t>
        </w:r>
      </w:hyperlink>
    </w:p>
    <w:p>
      <w:pPr>
        <w:pStyle w:val="ConsPlusNormal"/>
        <w:bidi w:val="0"/>
        <w:jc w:val="center"/>
        <w:rPr>
          <w:rFonts w:ascii="PT Astra Serif" w:hAnsi="PT Astra Serif"/>
        </w:rPr>
      </w:pPr>
      <w:hyperlink r:id="rId58">
        <w:r>
          <w:rPr>
            <w:rFonts w:cs="Times New Roman" w:ascii="PT Astra Serif" w:hAnsi="PT Astra Serif"/>
            <w:sz w:val="28"/>
            <w:szCs w:val="28"/>
          </w:rPr>
          <w:t xml:space="preserve">в рамках осуществления государственного </w:t>
        </w:r>
      </w:hyperlink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center"/>
        <w:rPr>
          <w:rFonts w:ascii="PT Astra Serif" w:hAnsi="PT Astra Serif"/>
        </w:rPr>
      </w:pPr>
      <w:hyperlink r:id="rId59">
        <w:r>
          <w:rPr>
            <w:rFonts w:ascii="PT Astra Serif" w:hAnsi="PT Astra Serif"/>
            <w:sz w:val="28"/>
            <w:szCs w:val="28"/>
          </w:rPr>
          <w:t>контроля за соблюдением законодательства об архивном деле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0">
        <w:r>
          <w:rPr>
            <w:rFonts w:cs="Times New Roman" w:ascii="PT Astra Serif" w:hAnsi="PT Astra Serif"/>
            <w:sz w:val="28"/>
            <w:szCs w:val="28"/>
          </w:rPr>
          <w:t>Целями проведения мероприятий по профилактике нарушений обязательных требований подконтрольными субъектами являются: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1">
        <w:r>
          <w:rPr>
            <w:rFonts w:cs="Times New Roman" w:ascii="PT Astra Serif" w:hAnsi="PT Astra Serif"/>
            <w:sz w:val="28"/>
            <w:szCs w:val="28"/>
          </w:rPr>
          <w:t>1) предупреждение нарушений обязательных требований;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2">
        <w:r>
          <w:rPr>
            <w:rFonts w:cs="Times New Roman" w:ascii="PT Astra Serif" w:hAnsi="PT Astra Serif"/>
            <w:sz w:val="28"/>
            <w:szCs w:val="28"/>
          </w:rPr>
          <w:t>2) устранение причин, факторов и условий, способствующих возможному нарушению обязательных требований;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3">
        <w:r>
          <w:rPr>
            <w:rFonts w:cs="Times New Roman" w:ascii="PT Astra Serif" w:hAnsi="PT Astra Serif"/>
            <w:sz w:val="28"/>
            <w:szCs w:val="28"/>
          </w:rPr>
          <w:t>3) повышение прозрачности системы контроля за соблюдением законодательства об архивном деле;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4">
        <w:r>
          <w:rPr>
            <w:rFonts w:cs="Times New Roman" w:ascii="PT Astra Serif" w:hAnsi="PT Astra Serif"/>
            <w:sz w:val="28"/>
            <w:szCs w:val="28"/>
          </w:rPr>
          <w:t>4) снижение издержек как Департамента, так и подконтрольных субъектов при осуществлении контроля за соблюдением законодательства об архивном деле;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5">
        <w:r>
          <w:rPr>
            <w:rFonts w:cs="Times New Roman" w:ascii="PT Astra Serif" w:hAnsi="PT Astra Serif"/>
            <w:sz w:val="28"/>
            <w:szCs w:val="28"/>
          </w:rPr>
          <w:t>5) снижение административной нагрузки на подконтрольные субъекты;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6">
        <w:r>
          <w:rPr>
            <w:rFonts w:cs="Times New Roman" w:ascii="PT Astra Serif" w:hAnsi="PT Astra Serif"/>
            <w:sz w:val="28"/>
            <w:szCs w:val="28"/>
          </w:rPr>
          <w:t>6) создание мотивации к добросовестному поведению и, как следствие, снижение уровня ущерба охраняемым законом ценностям.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7">
        <w:r>
          <w:rPr>
            <w:rFonts w:cs="Times New Roman" w:ascii="PT Astra Serif" w:hAnsi="PT Astra Serif"/>
            <w:sz w:val="28"/>
            <w:szCs w:val="28"/>
          </w:rPr>
          <w:t>Задачами проведения мероприятий по профилактике нарушений обязательных требований подконтрольными субъектами являются: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8">
        <w:r>
          <w:rPr>
            <w:rFonts w:cs="Times New Roman" w:ascii="PT Astra Serif" w:hAnsi="PT Astra Serif"/>
            <w:sz w:val="28"/>
            <w:szCs w:val="28"/>
          </w:rPr>
          <w:t>1) формирование единообразного понимания обязательных требований у всех участников осуществляемой Департаментом контрольной деятельности;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69">
        <w:r>
          <w:rPr>
            <w:rFonts w:cs="Times New Roman" w:ascii="PT Astra Serif" w:hAnsi="PT Astra Serif"/>
            <w:sz w:val="28"/>
            <w:szCs w:val="28"/>
          </w:rPr>
          <w:t>2) выявление причин, факторов и условий, способствующих нарушению обязательных требований подконтрольными субъектами, определение способов их устранения или снижения рисков возникновения;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70">
        <w:r>
          <w:rPr>
            <w:rFonts w:cs="Times New Roman" w:ascii="PT Astra Serif" w:hAnsi="PT Astra Serif"/>
            <w:sz w:val="28"/>
            <w:szCs w:val="28"/>
          </w:rPr>
          <w:t>3) выявление типичных нарушений обязательных требований и подготовка предложений по их профилактике.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PT Astra Serif" w:hAnsi="PT Astra Serif"/>
        </w:rPr>
      </w:pPr>
      <w:hyperlink r:id="rId71">
        <w:r>
          <w:rPr>
            <w:rFonts w:ascii="PT Astra Serif" w:hAnsi="PT Astra Serif"/>
            <w:sz w:val="28"/>
            <w:szCs w:val="28"/>
          </w:rPr>
          <w:t>Оценка эффективности программы</w:t>
        </w:r>
      </w:hyperlink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2">
        <w:r>
          <w:rPr>
            <w:rFonts w:ascii="PT Astra Serif" w:hAnsi="PT Astra Serif"/>
            <w:sz w:val="28"/>
            <w:szCs w:val="28"/>
          </w:rPr>
          <w:t>Ожидаемым социальным эффектом от проводимых профилактических мероприятий является повышение уровня осведомленности об обязательных требованиях в сфере архивного дела, о том, какие именно интересы граждан и организаций защищаются при осуществлении контрольно-надзорных мероприятий специалистами комитета по делам архивов Департамента, что повлечет сокращение количества нарушений законодательства об архивном деле, сохранение исторически и социально значимых документов, сокращение нарушений прав граждан и организаций на получение информации.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3">
        <w:r>
          <w:rPr>
            <w:rFonts w:ascii="PT Astra Serif" w:hAnsi="PT Astra Serif"/>
            <w:sz w:val="28"/>
            <w:szCs w:val="28"/>
          </w:rPr>
          <w:t>Экономическим эффектом от реализованных мероприятий должна быть минимизация ресурсных затрат всех участников контрольно-надзорной деятельности за счет снижения административного давления.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4">
        <w:r>
          <w:rPr>
            <w:rFonts w:ascii="PT Astra Serif" w:hAnsi="PT Astra Serif"/>
            <w:sz w:val="28"/>
            <w:szCs w:val="28"/>
          </w:rPr>
          <w:t>Оценить выполненные за отчетный период профилактические мероприятия могут следующие показатели результативности и эффективности:</w:t>
        </w:r>
      </w:hyperlink>
    </w:p>
    <w:p>
      <w:pPr>
        <w:pStyle w:val="ListParagraph"/>
        <w:numPr>
          <w:ilvl w:val="0"/>
          <w:numId w:val="3"/>
        </w:numPr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5">
        <w:r>
          <w:rPr>
            <w:rFonts w:ascii="PT Astra Serif" w:hAnsi="PT Astra Serif"/>
            <w:sz w:val="28"/>
            <w:szCs w:val="28"/>
          </w:rPr>
          <w:t xml:space="preserve">количество проведенных профилактических мероприятий. </w:t>
        </w:r>
      </w:hyperlink>
    </w:p>
    <w:p>
      <w:pPr>
        <w:pStyle w:val="ListParagraph"/>
        <w:tabs>
          <w:tab w:val="clear" w:pos="720"/>
          <w:tab w:val="left" w:pos="1134" w:leader="none"/>
        </w:tabs>
        <w:ind w:left="0" w:right="0" w:firstLine="709"/>
        <w:jc w:val="both"/>
        <w:rPr>
          <w:rFonts w:ascii="PT Astra Serif" w:hAnsi="PT Astra Serif"/>
        </w:rPr>
      </w:pPr>
      <w:hyperlink r:id="rId76">
        <w:r>
          <w:rPr>
            <w:rFonts w:ascii="PT Astra Serif" w:hAnsi="PT Astra Serif"/>
            <w:sz w:val="28"/>
            <w:szCs w:val="28"/>
          </w:rPr>
          <w:t>Единица измерений – единица.</w:t>
        </w:r>
      </w:hyperlink>
    </w:p>
    <w:p>
      <w:pPr>
        <w:pStyle w:val="ListParagraph"/>
        <w:tabs>
          <w:tab w:val="clear" w:pos="720"/>
          <w:tab w:val="left" w:pos="1134" w:leader="none"/>
        </w:tabs>
        <w:ind w:left="0" w:right="0" w:firstLine="709"/>
        <w:jc w:val="both"/>
        <w:rPr>
          <w:rFonts w:ascii="PT Astra Serif" w:hAnsi="PT Astra Serif"/>
        </w:rPr>
      </w:pPr>
      <w:hyperlink r:id="rId77">
        <w:r>
          <w:rPr>
            <w:rFonts w:ascii="PT Astra Serif" w:hAnsi="PT Astra Serif"/>
            <w:sz w:val="28"/>
            <w:szCs w:val="28"/>
          </w:rPr>
          <w:t>Разъяснения по показателю: количество проведенных мероприятий по формам.</w:t>
        </w:r>
      </w:hyperlink>
    </w:p>
    <w:p>
      <w:pPr>
        <w:pStyle w:val="ListParagraph"/>
        <w:numPr>
          <w:ilvl w:val="0"/>
          <w:numId w:val="3"/>
        </w:numPr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8">
        <w:r>
          <w:rPr>
            <w:rFonts w:ascii="PT Astra Serif" w:hAnsi="PT Astra Serif"/>
            <w:sz w:val="28"/>
            <w:szCs w:val="28"/>
          </w:rPr>
          <w:t>количество субъектов, в отношении которых проведены профилактические мероприятия.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9">
        <w:r>
          <w:rPr>
            <w:rFonts w:ascii="PT Astra Serif" w:hAnsi="PT Astra Serif"/>
            <w:sz w:val="28"/>
            <w:szCs w:val="28"/>
          </w:rPr>
          <w:t>Единица измерения – единица.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0">
        <w:r>
          <w:rPr>
            <w:rFonts w:ascii="PT Astra Serif" w:hAnsi="PT Astra Serif"/>
            <w:sz w:val="28"/>
            <w:szCs w:val="28"/>
          </w:rPr>
          <w:t>Разъяснения по показателю: количество подконтрольных субъектов – адресатов проведенных мероприятий.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1">
        <w:r>
          <w:rPr>
            <w:rFonts w:ascii="PT Astra Serif" w:hAnsi="PT Astra Serif"/>
            <w:sz w:val="28"/>
            <w:szCs w:val="28"/>
          </w:rPr>
          <w:t>3) доля проверок, по итогам которых выявлены нарушения обязательных требований от общего количества запланированных проверок.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2">
        <w:r>
          <w:rPr>
            <w:rFonts w:ascii="PT Astra Serif" w:hAnsi="PT Astra Serif"/>
            <w:sz w:val="28"/>
            <w:szCs w:val="28"/>
          </w:rPr>
          <w:t>Единица измерений – процент.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3">
        <w:r>
          <w:rPr>
            <w:rFonts w:ascii="PT Astra Serif" w:hAnsi="PT Astra Serif"/>
            <w:sz w:val="28"/>
            <w:szCs w:val="28"/>
          </w:rPr>
          <w:t>Разъяснения по показателю: отношение количества проверок за отчетный период, по которым выявлены нарушения обязательных требований, к общему количеству проведенных плановых проверок за отчетный период.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4">
        <w:r>
          <w:rPr>
            <w:rFonts w:ascii="PT Astra Serif" w:hAnsi="PT Astra Serif"/>
            <w:sz w:val="28"/>
            <w:szCs w:val="28"/>
          </w:rPr>
          <w:t>4) доля внеплановых проверок, по итогам которых установлено, что предписания подконтрольными субъектами исполняются в полном объеме, от общего количества проведенных внеплановых проверок.</w:t>
        </w:r>
      </w:hyperlink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hyperlink r:id="rId85">
        <w:r>
          <w:rPr>
            <w:rFonts w:ascii="PT Astra Serif" w:hAnsi="PT Astra Serif"/>
            <w:sz w:val="28"/>
            <w:szCs w:val="28"/>
          </w:rPr>
          <w:t>Единица измерения – процент.</w:t>
        </w:r>
      </w:hyperlink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hyperlink r:id="rId86">
        <w:r>
          <w:rPr>
            <w:rFonts w:ascii="PT Astra Serif" w:hAnsi="PT Astra Serif"/>
            <w:sz w:val="28"/>
            <w:szCs w:val="28"/>
          </w:rPr>
          <w:t>Разъяснения по показателю: отношение количества внеплановых проверок за отчетный период, по итогам которых установлено, что предписания подконтрольными субъектами исполняются в полном объеме, к общему количеству проведенных внеплановых проверок за отчетный период.</w:t>
        </w:r>
      </w:hyperlink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sectPr>
          <w:headerReference w:type="default" r:id="rId87"/>
          <w:headerReference w:type="first" r:id="rId88"/>
          <w:type w:val="nextPage"/>
          <w:pgSz w:w="11906" w:h="16838"/>
          <w:pgMar w:left="1418" w:right="851" w:header="1134" w:top="1191" w:footer="0" w:bottom="1134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PT Astra Serif" w:hAnsi="PT Astra Serif"/>
        </w:rPr>
      </w:pPr>
      <w:hyperlink r:id="rId89">
        <w:r>
          <w:rPr>
            <w:rFonts w:ascii="PT Astra Serif" w:hAnsi="PT Astra Serif"/>
            <w:sz w:val="28"/>
            <w:szCs w:val="28"/>
          </w:rPr>
          <w:t>План-график профилактических мероприятий</w:t>
        </w:r>
      </w:hyperlink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/>
      </w:r>
    </w:p>
    <w:tbl>
      <w:tblPr>
        <w:tblW w:w="1499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5914"/>
        <w:gridCol w:w="2691"/>
        <w:gridCol w:w="2120"/>
        <w:gridCol w:w="3702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0">
              <w:r>
                <w:rPr>
                  <w:rFonts w:ascii="PT Astra Serif" w:hAnsi="PT Astra Serif"/>
                  <w:sz w:val="28"/>
                  <w:szCs w:val="28"/>
                </w:rPr>
                <w:t>№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1">
              <w:r>
                <w:rPr>
                  <w:rFonts w:ascii="PT Astra Serif" w:hAnsi="PT Astra Serif"/>
                  <w:sz w:val="28"/>
                  <w:szCs w:val="28"/>
                </w:rPr>
                <w:t>п/п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2">
              <w:r>
                <w:rPr>
                  <w:rFonts w:ascii="PT Astra Serif" w:hAnsi="PT Astra Serif"/>
                  <w:sz w:val="28"/>
                  <w:szCs w:val="28"/>
                </w:rPr>
                <w:t>Наименование мероприятия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3">
              <w:r>
                <w:rPr>
                  <w:rFonts w:ascii="PT Astra Serif" w:hAnsi="PT Astra Serif"/>
                  <w:sz w:val="28"/>
                  <w:szCs w:val="28"/>
                </w:rPr>
                <w:t>Срок исполнения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4">
              <w:r>
                <w:rPr>
                  <w:rFonts w:ascii="PT Astra Serif" w:hAnsi="PT Astra Serif"/>
                  <w:sz w:val="28"/>
                  <w:szCs w:val="28"/>
                </w:rPr>
                <w:t>Ответственный исполнитель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5">
              <w:r>
                <w:rPr>
                  <w:rFonts w:ascii="PT Astra Serif" w:hAnsi="PT Astra Serif"/>
                  <w:sz w:val="28"/>
                  <w:szCs w:val="28"/>
                </w:rPr>
                <w:t>Ожидаемый результат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6">
              <w:r>
                <w:rPr>
                  <w:rFonts w:ascii="PT Astra Serif" w:hAnsi="PT Astra Serif"/>
                  <w:sz w:val="28"/>
                  <w:szCs w:val="28"/>
                </w:rPr>
                <w:t>1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Размещение на официальном сайте Департамента </w:t>
            </w:r>
            <w:r>
              <w:rPr>
                <w:rFonts w:eastAsia="Times New Roman" w:cs="Times New Roman" w:ascii="PT Astra Serif" w:hAnsi="PT Astra Serif"/>
                <w:color w:val="auto"/>
                <w:sz w:val="28"/>
                <w:szCs w:val="28"/>
                <w:lang w:val="ru-RU" w:eastAsia="zh-CN" w:bidi="ar-SA"/>
              </w:rPr>
              <w:t>программы профилактики рисков причинения вреда  (ущерба) охраняемым законом ценностям на 2022 год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7">
              <w:r>
                <w:rPr>
                  <w:rFonts w:ascii="PT Astra Serif" w:hAnsi="PT Astra Serif"/>
                  <w:sz w:val="28"/>
                  <w:szCs w:val="28"/>
                </w:rPr>
                <w:t>декабрь 20</w:t>
              </w:r>
              <w:r>
                <w:rPr>
                  <w:rFonts w:eastAsia="Times New Roman" w:cs="Times New Roman" w:ascii="PT Astra Serif" w:hAnsi="PT Astra Serif"/>
                  <w:color w:val="auto"/>
                  <w:kern w:val="0"/>
                  <w:sz w:val="28"/>
                  <w:szCs w:val="28"/>
                  <w:lang w:val="ru-RU" w:eastAsia="ru-RU" w:bidi="ar-SA"/>
                </w:rPr>
                <w:t>21</w:t>
              </w:r>
              <w:r>
                <w:rPr>
                  <w:rFonts w:ascii="PT Astra Serif" w:hAnsi="PT Astra Serif"/>
                  <w:sz w:val="28"/>
                  <w:szCs w:val="28"/>
                </w:rPr>
                <w:t xml:space="preserve"> г. 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98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99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порядка организации и выполнения профилактических мероприятий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0">
              <w:r>
                <w:rPr>
                  <w:rFonts w:ascii="PT Astra Serif" w:hAnsi="PT Astra Serif"/>
                  <w:sz w:val="28"/>
                  <w:szCs w:val="28"/>
                </w:rPr>
                <w:t>2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01">
              <w:r>
                <w:rPr>
                  <w:rFonts w:ascii="PT Astra Serif" w:hAnsi="PT Astra Serif"/>
                  <w:sz w:val="28"/>
                  <w:szCs w:val="28"/>
                </w:rPr>
                <w:t>Информирование подконтрольных субъектов по вопросам соблюдения обязательных требований в области архивного дела посредством проведения семинаров и совещаний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2">
              <w:r>
                <w:rPr>
                  <w:rFonts w:ascii="PT Astra Serif" w:hAnsi="PT Astra Serif"/>
                  <w:sz w:val="28"/>
                  <w:szCs w:val="28"/>
                </w:rPr>
                <w:t>февраль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3">
              <w:r>
                <w:rPr>
                  <w:rFonts w:ascii="PT Astra Serif" w:hAnsi="PT Astra Serif"/>
                  <w:sz w:val="28"/>
                  <w:szCs w:val="28"/>
                </w:rPr>
                <w:t>июль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4">
              <w:r>
                <w:rPr>
                  <w:rFonts w:ascii="PT Astra Serif" w:hAnsi="PT Astra Serif"/>
                  <w:sz w:val="28"/>
                  <w:szCs w:val="28"/>
                </w:rPr>
                <w:t>октябрь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5">
              <w:r>
                <w:rPr>
                  <w:rFonts w:ascii="PT Astra Serif" w:hAnsi="PT Astra Serif"/>
                  <w:sz w:val="28"/>
                  <w:szCs w:val="28"/>
                </w:rPr>
                <w:t>Н.Д. Могутаева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6">
              <w:r>
                <w:rPr>
                  <w:rFonts w:ascii="PT Astra Serif" w:hAnsi="PT Astra Serif"/>
                  <w:sz w:val="28"/>
                  <w:szCs w:val="28"/>
                </w:rPr>
                <w:t>Т.К. Козлова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7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08">
              <w:r>
                <w:rPr>
                  <w:rFonts w:ascii="PT Astra Serif" w:hAnsi="PT Astra Serif"/>
                  <w:sz w:val="28"/>
                  <w:szCs w:val="28"/>
                </w:rPr>
                <w:t>М.П. Шпагина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09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обязательных требований, а также рисков их несоблюдения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0">
              <w:r>
                <w:rPr>
                  <w:rFonts w:ascii="PT Astra Serif" w:hAnsi="PT Astra Serif"/>
                  <w:sz w:val="28"/>
                  <w:szCs w:val="28"/>
                </w:rPr>
                <w:t>3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11">
              <w:r>
                <w:rPr>
                  <w:rFonts w:ascii="PT Astra Serif" w:hAnsi="PT Astra Serif"/>
                  <w:sz w:val="28"/>
                  <w:szCs w:val="28"/>
                </w:rPr>
                <w:t>Проведение публичных обсуждений результатов правоприменительной практики Департамента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2">
              <w:r>
                <w:rPr>
                  <w:rFonts w:ascii="PT Astra Serif" w:hAnsi="PT Astra Serif"/>
                  <w:sz w:val="28"/>
                  <w:szCs w:val="28"/>
                </w:rPr>
                <w:t>ноябрь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3">
              <w:r>
                <w:rPr>
                  <w:rFonts w:ascii="PT Astra Serif" w:hAnsi="PT Astra Serif"/>
                  <w:sz w:val="28"/>
                  <w:szCs w:val="28"/>
                </w:rPr>
                <w:t>Н.Д. Могутаева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4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5">
              <w:r>
                <w:rPr>
                  <w:rFonts w:ascii="PT Astra Serif" w:hAnsi="PT Astra Serif"/>
                  <w:sz w:val="28"/>
                  <w:szCs w:val="28"/>
                </w:rPr>
                <w:t>М.П. Шпагина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16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обязательных требований, а также рисков их несоблюдения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7">
              <w:r>
                <w:rPr>
                  <w:rFonts w:ascii="PT Astra Serif" w:hAnsi="PT Astra Serif"/>
                  <w:sz w:val="28"/>
                  <w:szCs w:val="28"/>
                </w:rPr>
                <w:t>4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18">
              <w:r>
                <w:rPr>
                  <w:rFonts w:ascii="PT Astra Serif" w:hAnsi="PT Astra Serif"/>
                  <w:sz w:val="28"/>
                  <w:szCs w:val="28"/>
                </w:rPr>
                <w:t>Прием заинтересованных лиц в комитете по делам архивов Департамента по вопросам соблюдения обязательных требований в области архивного дела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19">
              <w:r>
                <w:rPr>
                  <w:rFonts w:ascii="PT Astra Serif" w:hAnsi="PT Astra Serif"/>
                  <w:sz w:val="28"/>
                  <w:szCs w:val="28"/>
                </w:rPr>
                <w:t xml:space="preserve">еженедельно по средам 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0">
              <w:r>
                <w:rPr>
                  <w:rFonts w:ascii="PT Astra Serif" w:hAnsi="PT Astra Serif"/>
                  <w:sz w:val="28"/>
                  <w:szCs w:val="28"/>
                </w:rPr>
                <w:t>с 14:00 до 18:00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1">
              <w:r>
                <w:rPr>
                  <w:rFonts w:ascii="PT Astra Serif" w:hAnsi="PT Astra Serif"/>
                  <w:sz w:val="28"/>
                  <w:szCs w:val="28"/>
                </w:rPr>
                <w:t>Н.Д. Могутаева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2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3">
              <w:r>
                <w:rPr>
                  <w:rFonts w:ascii="PT Astra Serif" w:hAnsi="PT Astra Serif"/>
                  <w:sz w:val="28"/>
                  <w:szCs w:val="28"/>
                </w:rPr>
                <w:t>М.П. Шпагина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24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обязательных требований, а также рисков их несоблюдения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5">
              <w:r>
                <w:rPr>
                  <w:rFonts w:ascii="PT Astra Serif" w:hAnsi="PT Astra Serif"/>
                  <w:sz w:val="28"/>
                  <w:szCs w:val="28"/>
                </w:rPr>
                <w:t>5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26">
              <w:r>
                <w:rPr>
                  <w:rFonts w:ascii="PT Astra Serif" w:hAnsi="PT Astra Serif"/>
                  <w:sz w:val="28"/>
                  <w:szCs w:val="28"/>
                </w:rPr>
                <w:t>Подготовка и размещение на официальном сайте Департамента комментариев о содержании новых нормативных правовых актов, устанавливающих обязательные требования в области архивного дела, внесенных изменений в действующие акты, сроков и порядка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 в области архивного дела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7">
              <w:r>
                <w:rPr>
                  <w:rFonts w:ascii="PT Astra Serif" w:hAnsi="PT Astra Serif"/>
                  <w:sz w:val="28"/>
                  <w:szCs w:val="28"/>
                </w:rPr>
                <w:t>в течение 10 рабочих дней со дня опубликования нормативных правовых актов, содержащих изменения обязательных требований в области архивного дела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28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29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обязательных требований, а также рисков их несоблюдения</w:t>
              </w:r>
            </w:hyperlink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0">
              <w:r>
                <w:rPr>
                  <w:rFonts w:ascii="PT Astra Serif" w:hAnsi="PT Astra Serif"/>
                  <w:sz w:val="28"/>
                  <w:szCs w:val="28"/>
                </w:rPr>
                <w:t>6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Подготовка и размещение на сайте обобщения практики осуществления контроля за соблюдением законодательства об архивном деле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1">
              <w:r>
                <w:rPr>
                  <w:rFonts w:ascii="PT Astra Serif" w:hAnsi="PT Astra Serif"/>
                  <w:sz w:val="28"/>
                  <w:szCs w:val="28"/>
                </w:rPr>
                <w:t>январь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/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2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33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обязательных требований, а также рисков их несоблюдения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4">
              <w:r>
                <w:rPr>
                  <w:rFonts w:ascii="PT Astra Serif" w:hAnsi="PT Astra Serif"/>
                  <w:sz w:val="28"/>
                  <w:szCs w:val="28"/>
                </w:rPr>
                <w:t>7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Размещение на официальном сайте Департамента ответов/разъяснений по часто задаваемым вопросам в области архивного дела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5">
              <w:r>
                <w:rPr>
                  <w:rFonts w:ascii="PT Astra Serif" w:hAnsi="PT Astra Serif"/>
                  <w:sz w:val="28"/>
                  <w:szCs w:val="28"/>
                </w:rPr>
                <w:t>по мере необходимости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6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37">
              <w:r>
                <w:rPr>
                  <w:rFonts w:ascii="PT Astra Serif" w:hAnsi="PT Astra Serif"/>
                  <w:sz w:val="28"/>
                  <w:szCs w:val="28"/>
                </w:rPr>
                <w:t>Повышение уровня понимания подконтрольными субъектами обязательных требований, а также рисков их несоблюдения</w:t>
              </w:r>
            </w:hyperlink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8">
              <w:r>
                <w:rPr>
                  <w:rFonts w:ascii="PT Astra Serif" w:hAnsi="PT Astra Serif"/>
                  <w:sz w:val="28"/>
                  <w:szCs w:val="28"/>
                </w:rPr>
                <w:t>8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Вынесение юридическим лицам и индивидуальным предпринимателям предостережений о недопустимости нарушения обязательных требований в соответствии со статьей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39">
              <w:r>
                <w:rPr>
                  <w:rFonts w:ascii="PT Astra Serif" w:hAnsi="PT Astra Serif"/>
                  <w:sz w:val="28"/>
                  <w:szCs w:val="28"/>
                </w:rPr>
                <w:t>незамедлительно, при наличии сведений о признаках нарушений обязательных требований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40">
              <w:r>
                <w:rPr>
                  <w:rFonts w:ascii="PT Astra Serif" w:hAnsi="PT Astra Serif"/>
                  <w:sz w:val="28"/>
                  <w:szCs w:val="28"/>
                </w:rPr>
                <w:t>Л.В. Кодочигова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141">
              <w:r>
                <w:rPr>
                  <w:rFonts w:ascii="PT Astra Serif" w:hAnsi="PT Astra Serif"/>
                  <w:sz w:val="28"/>
                  <w:szCs w:val="28"/>
                </w:rPr>
                <w:t>М.П. Шпагина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42">
              <w:r>
                <w:rPr>
                  <w:rFonts w:ascii="PT Astra Serif" w:hAnsi="PT Astra Serif"/>
                  <w:sz w:val="28"/>
                  <w:szCs w:val="28"/>
                </w:rPr>
                <w:t>Пресечение (прекращение) и предупреждение нарушения обязательных требований</w:t>
              </w:r>
            </w:hyperlink>
          </w:p>
        </w:tc>
      </w:tr>
    </w:tbl>
    <w:p>
      <w:pPr>
        <w:pStyle w:val="Style19"/>
        <w:bidi w:val="0"/>
        <w:ind w:left="0" w:right="0" w:hanging="0"/>
        <w:rPr>
          <w:rFonts w:ascii="PT Astra Serif" w:hAnsi="PT Astra Serif"/>
        </w:rPr>
      </w:pPr>
      <w:hyperlink r:id="rId143">
        <w:r>
          <w:rPr>
            <w:rFonts w:ascii="PT Astra Serif" w:hAnsi="PT Astra Serif"/>
            <w:sz w:val="28"/>
            <w:szCs w:val="28"/>
          </w:rPr>
          <w:br/>
        </w:r>
      </w:hyperlink>
    </w:p>
    <w:p>
      <w:pPr>
        <w:pStyle w:val="Style19"/>
        <w:bidi w:val="0"/>
        <w:ind w:left="0" w:right="0" w:hanging="0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/>
      </w:r>
    </w:p>
    <w:p>
      <w:pPr>
        <w:pStyle w:val="Style21"/>
        <w:rPr>
          <w:rFonts w:ascii="PT Astra Serif" w:hAnsi="PT Astra Serif"/>
        </w:rPr>
      </w:pPr>
      <w:r>
        <w:rPr/>
      </w:r>
    </w:p>
    <w:sectPr>
      <w:headerReference w:type="default" r:id="rId144"/>
      <w:headerReference w:type="first" r:id="rId145"/>
      <w:type w:val="nextPage"/>
      <w:pgSz w:orient="landscape" w:w="16838" w:h="11906"/>
      <w:pgMar w:left="1134" w:right="1134" w:header="1134" w:top="1418" w:footer="0" w:bottom="851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Arial">
    <w:charset w:val="01"/>
    <w:family w:val="roman"/>
    <w:pitch w:val="default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lef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8">
              <wp:simplePos x="0" y="0"/>
              <wp:positionH relativeFrom="page">
                <wp:posOffset>3841115</wp:posOffset>
              </wp:positionH>
              <wp:positionV relativeFrom="paragraph">
                <wp:posOffset>-119380</wp:posOffset>
              </wp:positionV>
              <wp:extent cx="229235" cy="25971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8600" cy="259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7"/>
                            <w:bidi w:val="0"/>
                            <w:jc w:val="center"/>
                            <w:rPr/>
                          </w:pPr>
                          <w:r>
                            <w:rPr>
                              <w:rStyle w:val="Style9"/>
                              <w:color w:val="00000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302.45pt;margin-top:-9.4pt;width:17.95pt;height:20.35pt;mso-position-horizont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7"/>
                      <w:bidi w:val="0"/>
                      <w:jc w:val="center"/>
                      <w:rPr/>
                    </w:pPr>
                    <w:r>
                      <w:rPr>
                        <w:rStyle w:val="Style9"/>
                        <w:color w:val="00000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instrText> PAGE </w:instrText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fldChar w:fldCharType="separate"/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t>8</w:t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571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9571"/>
    </w:tblGrid>
    <w:tr>
      <w:trPr>
        <w:trHeight w:val="1247" w:hRule="atLeast"/>
      </w:trPr>
      <w:tc>
        <w:tcPr>
          <w:tcW w:w="9571" w:type="dxa"/>
          <w:tcBorders/>
          <w:shd w:fill="auto" w:val="clear"/>
        </w:tcPr>
        <w:p>
          <w:pPr>
            <w:pStyle w:val="Style17"/>
            <w:tabs>
              <w:tab w:val="clear" w:pos="4153"/>
              <w:tab w:val="clear" w:pos="8306"/>
              <w:tab w:val="left" w:pos="1512" w:leader="none"/>
              <w:tab w:val="left" w:pos="2592" w:leader="none"/>
              <w:tab w:val="right" w:pos="9612" w:leader="none"/>
            </w:tabs>
            <w:bidi w:val="0"/>
            <w:ind w:left="-108" w:right="-108" w:hanging="0"/>
            <w:jc w:val="center"/>
            <w:rPr/>
          </w:pPr>
          <w:bookmarkStart w:id="3" w:name="_1612706920"/>
          <w:bookmarkEnd w:id="3"/>
          <w:r>
            <w:rPr/>
            <w:object>
              <v:shape id="ole_rId1" style="width:57.75pt;height:57.7pt" o:ole="">
                <v:imagedata r:id="rId2" o:title=""/>
              </v:shape>
              <o:OLEObject Type="Embed" ProgID="" ShapeID="ole_rId1" DrawAspect="Content" ObjectID="_1898574410" r:id="rId1"/>
            </w:object>
          </w:r>
        </w:p>
      </w:tc>
    </w:tr>
    <w:tr>
      <w:trPr>
        <w:trHeight w:val="851" w:hRule="atLeast"/>
      </w:trPr>
      <w:tc>
        <w:tcPr>
          <w:tcW w:w="9571" w:type="dxa"/>
          <w:tcBorders/>
          <w:shd w:fill="auto" w:val="clear"/>
        </w:tcPr>
        <w:p>
          <w:pPr>
            <w:pStyle w:val="Style17"/>
            <w:tabs>
              <w:tab w:val="clear" w:pos="4153"/>
              <w:tab w:val="clear" w:pos="8306"/>
              <w:tab w:val="left" w:pos="1512" w:leader="none"/>
              <w:tab w:val="left" w:pos="2592" w:leader="none"/>
              <w:tab w:val="right" w:pos="9612" w:leader="none"/>
            </w:tabs>
            <w:bidi w:val="0"/>
            <w:spacing w:before="120" w:after="0"/>
            <w:jc w:val="center"/>
            <w:rPr>
              <w:rFonts w:ascii="PT Astra Serif" w:hAnsi="PT Astra Serif"/>
            </w:rPr>
          </w:pPr>
          <w:r>
            <w:rPr>
              <w:rFonts w:ascii="PT Astra Serif" w:hAnsi="PT Astra Serif"/>
              <w:b/>
              <w:sz w:val="30"/>
              <w:szCs w:val="30"/>
            </w:rPr>
            <w:t>ДЕПАРТАМЕНТ ПО КУЛЬТУРЕ</w:t>
            <w:br/>
            <w:t>ТОМСКОЙ ОБЛАСТИ</w:t>
          </w:r>
        </w:p>
      </w:tc>
    </w:tr>
  </w:tbl>
  <w:p>
    <w:pPr>
      <w:pStyle w:val="Style17"/>
      <w:bidi w:val="0"/>
      <w:jc w:val="left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lef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center"/>
      <w:rPr/>
    </w:pPr>
    <w:r>
      <w:rPr>
        <w:sz w:val="28"/>
        <w:szCs w:val="28"/>
      </w:rPr>
      <w:t>1</w:t>
    </w:r>
    <w:r>
      <w:rPr>
        <w:sz w:val="28"/>
        <w:szCs w:val="28"/>
        <w:lang w:val="ru-RU"/>
      </w:rPr>
      <w:t>0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LONormal"/>
    <w:next w:val="LONormal"/>
    <w:qFormat/>
    <w:pPr>
      <w:keepNext w:val="true"/>
      <w:numPr>
        <w:ilvl w:val="0"/>
        <w:numId w:val="1"/>
      </w:numPr>
      <w:outlineLvl w:val="0"/>
    </w:pPr>
    <w:rPr>
      <w:rFonts w:ascii="Tahoma" w:hAnsi="Tahoma" w:cs="Tahoma"/>
      <w:sz w:val="24"/>
    </w:rPr>
  </w:style>
  <w:style w:type="paragraph" w:styleId="2">
    <w:name w:val="Heading 2"/>
    <w:basedOn w:val="LONormal"/>
    <w:next w:val="LONormal"/>
    <w:qFormat/>
    <w:pPr>
      <w:keepNext w:val="true"/>
      <w:numPr>
        <w:ilvl w:val="1"/>
        <w:numId w:val="1"/>
      </w:numPr>
      <w:outlineLvl w:val="1"/>
    </w:pPr>
    <w:rPr>
      <w:rFonts w:ascii="Tahoma" w:hAnsi="Tahoma" w:cs="Tahoma"/>
      <w:spacing w:val="20"/>
      <w:sz w:val="28"/>
    </w:rPr>
  </w:style>
  <w:style w:type="paragraph" w:styleId="3">
    <w:name w:val="Heading 3"/>
    <w:basedOn w:val="LONormal"/>
    <w:next w:val="LONormal"/>
    <w:qFormat/>
    <w:pPr>
      <w:keepNext w:val="true"/>
      <w:numPr>
        <w:ilvl w:val="2"/>
        <w:numId w:val="1"/>
      </w:numPr>
      <w:outlineLvl w:val="2"/>
    </w:pPr>
    <w:rPr>
      <w:rFonts w:ascii="Tahoma" w:hAnsi="Tahoma" w:cs="Tahoma"/>
      <w:b/>
      <w:sz w:val="32"/>
    </w:rPr>
  </w:style>
  <w:style w:type="paragraph" w:styleId="4">
    <w:name w:val="Heading 4"/>
    <w:basedOn w:val="LONormal"/>
    <w:next w:val="LONormal"/>
    <w:qFormat/>
    <w:pPr>
      <w:keepNext w:val="true"/>
      <w:numPr>
        <w:ilvl w:val="3"/>
        <w:numId w:val="1"/>
      </w:numPr>
      <w:jc w:val="both"/>
      <w:outlineLvl w:val="3"/>
    </w:pPr>
    <w:rPr>
      <w:sz w:val="28"/>
    </w:rPr>
  </w:style>
  <w:style w:type="paragraph" w:styleId="5">
    <w:name w:val="Heading 5"/>
    <w:basedOn w:val="LONormal"/>
    <w:next w:val="LONormal"/>
    <w:qFormat/>
    <w:pPr>
      <w:keepNext w:val="true"/>
      <w:numPr>
        <w:ilvl w:val="4"/>
        <w:numId w:val="1"/>
      </w:numPr>
      <w:ind w:left="0" w:right="0" w:firstLine="567"/>
      <w:outlineLvl w:val="4"/>
    </w:pPr>
    <w:rPr>
      <w:sz w:val="28"/>
    </w:rPr>
  </w:style>
  <w:style w:type="paragraph" w:styleId="6">
    <w:name w:val="Heading 6"/>
    <w:basedOn w:val="LONormal"/>
    <w:next w:val="LONormal"/>
    <w:qFormat/>
    <w:pPr>
      <w:keepNext w:val="true"/>
      <w:numPr>
        <w:ilvl w:val="5"/>
        <w:numId w:val="1"/>
      </w:numPr>
      <w:ind w:left="7200" w:right="0" w:hanging="0"/>
      <w:jc w:val="both"/>
      <w:outlineLvl w:val="5"/>
    </w:pPr>
    <w:rPr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>
      <w:rFonts w:ascii="Symbol" w:hAnsi="Symbol" w:cs="Symbol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>
      <w:rFonts w:ascii="Symbol" w:hAnsi="Symbol" w:cs="Symbol"/>
    </w:rPr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rFonts w:ascii="Symbol" w:hAnsi="Symbol" w:cs="Symbol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/>
  </w:style>
  <w:style w:type="character" w:styleId="Style8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9">
    <w:name w:val="Номер страницы"/>
    <w:basedOn w:val="Style8"/>
    <w:rPr/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2">
    <w:name w:val="Body Text"/>
    <w:basedOn w:val="LONormal"/>
    <w:qFormat/>
    <w:pPr>
      <w:spacing w:lineRule="auto" w:line="360"/>
      <w:jc w:val="both"/>
    </w:pPr>
    <w:rPr>
      <w:sz w:val="28"/>
    </w:rPr>
  </w:style>
  <w:style w:type="paragraph" w:styleId="Style13">
    <w:name w:val="List"/>
    <w:basedOn w:val="Style12"/>
    <w:pPr/>
    <w:rPr>
      <w:rFonts w:ascii="PT Astra Serif" w:hAnsi="PT Astra Serif" w:cs="Noto Sans Devanagari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Style16">
    <w:name w:val="Верхний и нижний колонтитулы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17">
    <w:name w:val="Header"/>
    <w:basedOn w:val="LO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Style18">
    <w:name w:val="Footer"/>
    <w:basedOn w:val="LO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Style19">
    <w:name w:val="Body Text Indent"/>
    <w:basedOn w:val="LONormal"/>
    <w:pPr>
      <w:ind w:left="0" w:right="0" w:firstLine="426"/>
      <w:jc w:val="both"/>
    </w:pPr>
    <w:rPr>
      <w:sz w:val="28"/>
    </w:rPr>
  </w:style>
  <w:style w:type="paragraph" w:styleId="21">
    <w:name w:val="Основной текст с отступом 2"/>
    <w:basedOn w:val="LONormal"/>
    <w:qFormat/>
    <w:pPr>
      <w:ind w:left="0" w:right="0" w:firstLine="720"/>
      <w:jc w:val="both"/>
    </w:pPr>
    <w:rPr>
      <w:sz w:val="28"/>
    </w:rPr>
  </w:style>
  <w:style w:type="paragraph" w:styleId="ConsNonformat">
    <w:name w:val="ConsNonformat"/>
    <w:qFormat/>
    <w:pPr>
      <w:widowControl/>
      <w:suppressAutoHyphens w:val="true"/>
      <w:overflowPunct w:val="false"/>
      <w:bidi w:val="0"/>
      <w:spacing w:before="0" w:after="0"/>
      <w:ind w:left="0" w:right="19772" w:hanging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ConsTitle">
    <w:name w:val="ConsTitle"/>
    <w:qFormat/>
    <w:pPr>
      <w:widowControl/>
      <w:suppressAutoHyphens w:val="true"/>
      <w:overflowPunct w:val="false"/>
      <w:bidi w:val="0"/>
      <w:spacing w:before="0" w:after="0"/>
      <w:ind w:left="0" w:right="19772" w:hanging="0"/>
      <w:jc w:val="left"/>
    </w:pPr>
    <w:rPr>
      <w:rFonts w:ascii="Arial" w:hAnsi="Arial" w:eastAsia="Times New Roman" w:cs="Arial"/>
      <w:b/>
      <w:color w:val="auto"/>
      <w:kern w:val="0"/>
      <w:sz w:val="16"/>
      <w:szCs w:val="20"/>
      <w:lang w:val="ru-RU" w:eastAsia="zh-CN" w:bidi="ar-SA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Исполнитель"/>
    <w:basedOn w:val="Normal"/>
    <w:qFormat/>
    <w:pPr/>
    <w:rPr/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zh-CN" w:bidi="ar-SA"/>
    </w:rPr>
  </w:style>
  <w:style w:type="paragraph" w:styleId="ConsPlusNonformat">
    <w:name w:val="ConsPlusNonformat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Содержимое врезки"/>
    <w:basedOn w:val="Normal"/>
    <w:qFormat/>
    <w:pPr/>
    <w:rPr/>
  </w:style>
  <w:style w:type="paragraph" w:styleId="31">
    <w:name w:val="Основной текст3"/>
    <w:basedOn w:val="Normal"/>
    <w:qFormat/>
    <w:pPr>
      <w:shd w:val="clear" w:fill="FFFFFF"/>
      <w:spacing w:lineRule="auto" w:line="240" w:before="480" w:after="480"/>
      <w:ind w:left="0" w:right="0" w:hanging="940"/>
      <w:jc w:val="center"/>
    </w:pPr>
    <w:rPr>
      <w:sz w:val="27"/>
      <w:szCs w:val="27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>
      <w:sz w:val="28"/>
    </w:rPr>
  </w:style>
  <w:style w:type="paragraph" w:styleId="ClassyRed1LTGliederung1">
    <w:name w:val="Classy_Red1~LT~Gliederung 1"/>
    <w:qFormat/>
    <w:pPr>
      <w:widowControl w:val="false"/>
      <w:suppressAutoHyphens w:val="true"/>
      <w:overflowPunct w:val="true"/>
      <w:bidi w:val="0"/>
      <w:spacing w:before="0" w:after="283"/>
      <w:jc w:val="left"/>
    </w:pPr>
    <w:rPr>
      <w:rFonts w:ascii="Liberation Sans" w:hAnsi="Liberation Sans" w:eastAsia="Tahoma" w:cs="Calibri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4238496C876AC9DA00C459C7D5287E91246548B6D70E019B42264588A62875E" TargetMode="External"/><Relationship Id="rId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7" Type="http://schemas.openxmlformats.org/officeDocument/2006/relationships/header" Target="header1.xml"/><Relationship Id="rId88" Type="http://schemas.openxmlformats.org/officeDocument/2006/relationships/header" Target="header2.xml"/><Relationship Id="rId8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4" Type="http://schemas.openxmlformats.org/officeDocument/2006/relationships/header" Target="header3.xml"/><Relationship Id="rId145" Type="http://schemas.openxmlformats.org/officeDocument/2006/relationships/header" Target="header4.xml"/><Relationship Id="rId146" Type="http://schemas.openxmlformats.org/officeDocument/2006/relationships/numbering" Target="numbering.xml"/><Relationship Id="rId147" Type="http://schemas.openxmlformats.org/officeDocument/2006/relationships/fontTable" Target="fontTable.xml"/><Relationship Id="rId148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290</TotalTime>
  <Application>LibreOffice/6.4.6.2$Linux_X86_64 LibreOffice_project/40$Build-2</Application>
  <Pages>11</Pages>
  <Words>2139</Words>
  <Characters>15871</Characters>
  <CharactersWithSpaces>17874</CharactersWithSpaces>
  <Paragraphs>234</Paragraphs>
  <Company>КонсультантПлюс Версия 4021.00.29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2021-09-14T10:42:00Z</dcterms:created>
  <dc:creator/>
  <dc:description/>
  <dc:language>ru-RU</dc:language>
  <cp:lastModifiedBy/>
  <cp:lastPrinted>2019-02-27T18:12:00Z</cp:lastPrinted>
  <dcterms:modified xsi:type="dcterms:W3CDTF">2021-09-27T10:53:43Z</dcterms:modified>
  <cp:revision>7</cp:revision>
  <dc:subject/>
  <dc:title>Федеральный закон от 22.10.2004 N 125-ФЗ(ред. от 11.06.2021)"Об архивном деле в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4021.00.29</vt:lpwstr>
  </property>
</Properties>
</file>